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57076" w:rsidTr="002E1C9E">
        <w:tc>
          <w:tcPr>
            <w:tcW w:w="9576" w:type="dxa"/>
            <w:gridSpan w:val="2"/>
            <w:shd w:val="pct20" w:color="auto" w:fill="auto"/>
          </w:tcPr>
          <w:p w:rsidR="00B57076" w:rsidRDefault="00B57076" w:rsidP="002E1C9E">
            <w:pPr>
              <w:spacing w:after="120"/>
              <w:jc w:val="center"/>
              <w:rPr>
                <w:b/>
                <w:sz w:val="32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b/>
                <w:sz w:val="32"/>
              </w:rPr>
              <w:t>BEST PRACTICE IN TEACHING SOCIAL STUDIES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Increase</w:t>
            </w:r>
          </w:p>
        </w:tc>
        <w:tc>
          <w:tcPr>
            <w:tcW w:w="4788" w:type="dxa"/>
          </w:tcPr>
          <w:p w:rsidR="00B57076" w:rsidRDefault="00B57076" w:rsidP="002E1C9E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Decrease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In-depth study of topics in each social studies field in which students make choices about what to study, and discover the complexities of human interaction</w:t>
            </w:r>
          </w:p>
        </w:tc>
        <w:tc>
          <w:tcPr>
            <w:tcW w:w="4788" w:type="dxa"/>
          </w:tcPr>
          <w:p w:rsidR="00B57076" w:rsidRDefault="00B57076" w:rsidP="002E1C9E">
            <w:r>
              <w:t>Cursory coverage of lock-step curriculum that includes everything but allows no time for deeper understanding of topics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Emphasis on activities that engage students in inquiry and problem solving about significant human issues</w:t>
            </w:r>
          </w:p>
        </w:tc>
        <w:tc>
          <w:tcPr>
            <w:tcW w:w="4788" w:type="dxa"/>
          </w:tcPr>
          <w:p w:rsidR="00B57076" w:rsidRDefault="00B57076" w:rsidP="002E1C9E">
            <w:r>
              <w:t>Memorization of isolated facts in textbooks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Student decision-making and participation in wider social, political, and economic affairs, so that they share a sense of responsibility for the welfare of their school and community</w:t>
            </w:r>
          </w:p>
        </w:tc>
        <w:tc>
          <w:tcPr>
            <w:tcW w:w="4788" w:type="dxa"/>
          </w:tcPr>
          <w:p w:rsidR="00B57076" w:rsidRDefault="00B57076" w:rsidP="002E1C9E">
            <w:r>
              <w:t>Isolation from the actual exercise of responsible citizenship; emphasis only on reading ab</w:t>
            </w:r>
            <w:r w:rsidR="005D4BE5">
              <w:t>o</w:t>
            </w:r>
            <w:r>
              <w:t>ut citizenship or future participation in the larger social and political world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Participation in interactive and cooperative classroom study process that bring together students of all ability levels</w:t>
            </w:r>
          </w:p>
        </w:tc>
        <w:tc>
          <w:tcPr>
            <w:tcW w:w="4788" w:type="dxa"/>
          </w:tcPr>
          <w:p w:rsidR="00B57076" w:rsidRDefault="00B57076" w:rsidP="002E1C9E">
            <w:r>
              <w:t>Lecture classes in which students sit passively</w:t>
            </w:r>
          </w:p>
          <w:p w:rsidR="00B57076" w:rsidRDefault="00B57076" w:rsidP="002E1C9E">
            <w:r>
              <w:br/>
              <w:t>Classes in which students of lower ability levels are deprived of the knowledge and learning opportunities that other students receive</w:t>
            </w:r>
          </w:p>
          <w:p w:rsidR="00B57076" w:rsidRDefault="00B57076" w:rsidP="002E1C9E"/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Integration of social studies with other areas of the curriculum</w:t>
            </w:r>
          </w:p>
        </w:tc>
        <w:tc>
          <w:tcPr>
            <w:tcW w:w="4788" w:type="dxa"/>
          </w:tcPr>
          <w:p w:rsidR="00B57076" w:rsidRDefault="00B57076" w:rsidP="002E1C9E">
            <w:r>
              <w:t>Narrowing social studies activity to include only textbook reading and test taking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Richer content in elementary grades, building on the prior knowledge children bring to social studies topics including:</w:t>
            </w:r>
          </w:p>
          <w:p w:rsidR="00B57076" w:rsidRDefault="00B57076" w:rsidP="002E1C9E">
            <w:pPr>
              <w:numPr>
                <w:ilvl w:val="0"/>
                <w:numId w:val="1"/>
              </w:numPr>
            </w:pPr>
            <w:r>
              <w:t>concepts from psychology, sociology, economics, and political science, as well as geography and history</w:t>
            </w:r>
          </w:p>
          <w:p w:rsidR="00B57076" w:rsidRDefault="00B57076" w:rsidP="002E1C9E">
            <w:pPr>
              <w:numPr>
                <w:ilvl w:val="0"/>
                <w:numId w:val="1"/>
              </w:numPr>
            </w:pPr>
            <w:r>
              <w:t>American social institutions</w:t>
            </w:r>
          </w:p>
          <w:p w:rsidR="00B57076" w:rsidRDefault="00B57076" w:rsidP="002E1C9E">
            <w:pPr>
              <w:numPr>
                <w:ilvl w:val="0"/>
                <w:numId w:val="1"/>
              </w:numPr>
            </w:pPr>
            <w:r>
              <w:t>issues for social groups</w:t>
            </w:r>
          </w:p>
          <w:p w:rsidR="00B57076" w:rsidRDefault="00B57076" w:rsidP="002E1C9E">
            <w:pPr>
              <w:numPr>
                <w:ilvl w:val="0"/>
                <w:numId w:val="1"/>
              </w:numPr>
            </w:pPr>
            <w:r>
              <w:t>the environment that surrounds them</w:t>
            </w:r>
          </w:p>
        </w:tc>
        <w:tc>
          <w:tcPr>
            <w:tcW w:w="4788" w:type="dxa"/>
          </w:tcPr>
          <w:p w:rsidR="00B57076" w:rsidRDefault="00B57076" w:rsidP="002E1C9E">
            <w:r>
              <w:t>Assumption that students are ignorant or uninterested in issues raised in social studies</w:t>
            </w:r>
          </w:p>
          <w:p w:rsidR="00B57076" w:rsidRDefault="00B57076" w:rsidP="002E1C9E"/>
          <w:p w:rsidR="00B57076" w:rsidRDefault="00B57076" w:rsidP="002E1C9E">
            <w:r>
              <w:t>Postponement of significant curriculum until secondary grades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Students’ valuing, and sense of connection with, American and global history, the history and culture of diverse social groups, and the environment that surrounds them</w:t>
            </w:r>
          </w:p>
        </w:tc>
        <w:tc>
          <w:tcPr>
            <w:tcW w:w="4788" w:type="dxa"/>
          </w:tcPr>
          <w:p w:rsidR="00B57076" w:rsidRDefault="00B57076" w:rsidP="002E1C9E">
            <w:r>
              <w:t>Use of curriculum restricted to only one, dominant cultural heritage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Students’ inquiry about the cultural groups they belong to, and others represented in their school and community, to promote students’ sense of ownership in the social studies curriculum</w:t>
            </w:r>
          </w:p>
        </w:tc>
        <w:tc>
          <w:tcPr>
            <w:tcW w:w="4788" w:type="dxa"/>
          </w:tcPr>
          <w:p w:rsidR="00B57076" w:rsidRDefault="00B57076" w:rsidP="002E1C9E">
            <w:r>
              <w:t>Use of curriculum that leaves students disconnected from, and unexcited about social studies topics</w:t>
            </w:r>
          </w:p>
        </w:tc>
      </w:tr>
      <w:tr w:rsidR="00B57076" w:rsidTr="002E1C9E">
        <w:tc>
          <w:tcPr>
            <w:tcW w:w="4788" w:type="dxa"/>
          </w:tcPr>
          <w:p w:rsidR="00B57076" w:rsidRDefault="00B57076" w:rsidP="002E1C9E">
            <w:r>
              <w:t>Use of evaluation that involves further learning and that promotes responsible citizenship and open expression of ideas</w:t>
            </w:r>
          </w:p>
        </w:tc>
        <w:tc>
          <w:tcPr>
            <w:tcW w:w="4788" w:type="dxa"/>
          </w:tcPr>
          <w:p w:rsidR="00B57076" w:rsidRDefault="00B57076" w:rsidP="002E1C9E">
            <w:r>
              <w:t>Assessments only at the end of a unit or grading period; assessments that test only factual knowledge or memorization of textbook information</w:t>
            </w:r>
          </w:p>
        </w:tc>
      </w:tr>
    </w:tbl>
    <w:p w:rsidR="009709F8" w:rsidRDefault="00946406"/>
    <w:p w:rsidR="00B57076" w:rsidRDefault="00B57076"/>
    <w:p w:rsidR="00B57076" w:rsidRDefault="00B57076"/>
    <w:p w:rsidR="00B57076" w:rsidRDefault="00B57076"/>
    <w:p w:rsidR="00B57076" w:rsidRDefault="00B5707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57076" w:rsidRPr="00B57076" w:rsidTr="002E1C9E">
        <w:tc>
          <w:tcPr>
            <w:tcW w:w="9576" w:type="dxa"/>
            <w:gridSpan w:val="2"/>
            <w:shd w:val="pct20" w:color="auto" w:fill="auto"/>
          </w:tcPr>
          <w:p w:rsidR="00B57076" w:rsidRPr="00B57076" w:rsidRDefault="00B57076" w:rsidP="00B57076">
            <w:pPr>
              <w:spacing w:after="120"/>
              <w:jc w:val="center"/>
              <w:rPr>
                <w:b/>
                <w:sz w:val="32"/>
              </w:rPr>
            </w:pPr>
            <w:r w:rsidRPr="00B57076">
              <w:br w:type="page"/>
            </w:r>
            <w:r w:rsidRPr="00B57076">
              <w:br w:type="page"/>
            </w:r>
            <w:r w:rsidRPr="00B57076">
              <w:rPr>
                <w:b/>
                <w:sz w:val="32"/>
              </w:rPr>
              <w:t>BEST PRACTICE IN EVALUATION AND ASSESSMENT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before="120" w:after="120"/>
              <w:jc w:val="center"/>
              <w:rPr>
                <w:sz w:val="24"/>
              </w:rPr>
            </w:pPr>
            <w:r w:rsidRPr="00B57076">
              <w:rPr>
                <w:b/>
                <w:sz w:val="24"/>
              </w:rPr>
              <w:t>Increase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before="120" w:after="120"/>
              <w:jc w:val="center"/>
              <w:rPr>
                <w:sz w:val="24"/>
              </w:rPr>
            </w:pPr>
            <w:r w:rsidRPr="00B57076">
              <w:rPr>
                <w:b/>
                <w:sz w:val="24"/>
              </w:rPr>
              <w:t>Decrease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 xml:space="preserve">The use of formative evaluations/assessments to understand student growth and direct instruction to increase their learning 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The use of summative evaluations which quantify what has been learned up to a given point to score students against each other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Use of evaluations that provide descriptive or narrative information to student and parents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Use of evaluations that produce scores or numerical grades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Student involvement in record-keeping and evaluating their own work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The role of the teacher as the sole evaluator of student work and keeper of the grades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  <w:ind w:right="-108"/>
            </w:pPr>
            <w:r w:rsidRPr="00B57076">
              <w:t xml:space="preserve">Use of varied assessments to evaluate students from many angles, by drawing on observations, conversations, performances, </w:t>
            </w:r>
            <w:proofErr w:type="spellStart"/>
            <w:r w:rsidRPr="00B57076">
              <w:t>etc</w:t>
            </w:r>
            <w:proofErr w:type="spellEnd"/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Use of multiple-choice, true-false tests at the end of units or grading periods to produce a record of student learning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r w:rsidRPr="00B57076">
              <w:t>Integration of evaluations and assessments into instruction through: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teacher-student conferences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learning logs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 xml:space="preserve">student </w:t>
            </w:r>
            <w:proofErr w:type="spellStart"/>
            <w:r w:rsidRPr="00B57076">
              <w:t>self evaluation</w:t>
            </w:r>
            <w:proofErr w:type="spellEnd"/>
            <w:r w:rsidRPr="00B57076">
              <w:t xml:space="preserve"> 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student records/reflections on their work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questionnaires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performances to demonstrate learning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open-response questions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</w:pPr>
            <w:r w:rsidRPr="00B57076">
              <w:t>projects with several interval products</w:t>
            </w:r>
          </w:p>
          <w:p w:rsidR="00B57076" w:rsidRPr="00B57076" w:rsidRDefault="00B57076" w:rsidP="00B57076">
            <w:pPr>
              <w:numPr>
                <w:ilvl w:val="0"/>
                <w:numId w:val="1"/>
              </w:numPr>
              <w:spacing w:after="60"/>
            </w:pPr>
            <w:r w:rsidRPr="00B57076">
              <w:t>peer conferencing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 xml:space="preserve">Use of paper pencil assessments as primary tool and evaluations only at end of units or as isolated activities  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 xml:space="preserve">Quality of information from evaluations/ assessments of learning and needs so they may be used in moderation to prevent consuming too much instructional or professional time 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Use of assessments that give too little information about student learning and needs</w:t>
            </w:r>
          </w:p>
          <w:p w:rsidR="00B57076" w:rsidRPr="00B57076" w:rsidRDefault="00B57076" w:rsidP="00B57076">
            <w:pPr>
              <w:spacing w:after="60"/>
            </w:pPr>
            <w:r w:rsidRPr="00B57076">
              <w:t xml:space="preserve">Use of assessments for purposes other than increasing </w:t>
            </w:r>
            <w:proofErr w:type="gramStart"/>
            <w:r w:rsidRPr="00B57076">
              <w:t>student  learning</w:t>
            </w:r>
            <w:proofErr w:type="gramEnd"/>
            <w:r w:rsidRPr="00B57076">
              <w:t xml:space="preserve">.  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 xml:space="preserve">Use of grading systems that emphasize and support mastery of content/ processes/skills.  </w:t>
            </w:r>
          </w:p>
          <w:p w:rsidR="00B57076" w:rsidRPr="00B57076" w:rsidRDefault="00B57076" w:rsidP="00B57076">
            <w:pPr>
              <w:spacing w:after="60"/>
            </w:pPr>
            <w:r w:rsidRPr="00B57076">
              <w:t xml:space="preserve">Emphasis on criterion-referenced grading systems with standards defined through established performance levels for demonstrating knowledge of content, processes, and skills 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Competitive, norm-referenced grading systems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Student conferencing to discuss student learning, growth, and needs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Students receive all information about growth and needs from numerical scores on work, assessments, grade reports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Parent conferencing to communicate student learning, growth, and needs</w:t>
            </w:r>
          </w:p>
          <w:p w:rsidR="00B57076" w:rsidRPr="00B57076" w:rsidRDefault="00B57076" w:rsidP="00B57076">
            <w:pPr>
              <w:spacing w:after="60"/>
            </w:pPr>
          </w:p>
          <w:p w:rsidR="00B57076" w:rsidRPr="00B57076" w:rsidRDefault="00B57076" w:rsidP="00B57076">
            <w:pPr>
              <w:spacing w:after="60"/>
            </w:pPr>
            <w:r w:rsidRPr="00B57076">
              <w:t>Parent programs to help community members understand the value of new approaches.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60"/>
            </w:pPr>
            <w:r w:rsidRPr="00B57076">
              <w:t>Parents receive all information about student progress and needs from numerical grades on papers, assessments, and grade reports</w:t>
            </w:r>
          </w:p>
        </w:tc>
      </w:tr>
    </w:tbl>
    <w:p w:rsidR="00B57076" w:rsidRDefault="00B57076"/>
    <w:p w:rsidR="00B57076" w:rsidRDefault="00B57076"/>
    <w:p w:rsidR="00B57076" w:rsidRDefault="00B5707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57076" w:rsidRPr="00B57076" w:rsidTr="002E1C9E">
        <w:tc>
          <w:tcPr>
            <w:tcW w:w="9576" w:type="dxa"/>
            <w:gridSpan w:val="2"/>
            <w:shd w:val="pct20" w:color="auto" w:fill="auto"/>
          </w:tcPr>
          <w:p w:rsidR="00B57076" w:rsidRPr="00B57076" w:rsidRDefault="00B57076" w:rsidP="00B57076">
            <w:pPr>
              <w:spacing w:after="120"/>
              <w:jc w:val="center"/>
              <w:rPr>
                <w:b/>
                <w:sz w:val="32"/>
              </w:rPr>
            </w:pPr>
            <w:r w:rsidRPr="00B57076">
              <w:rPr>
                <w:b/>
                <w:sz w:val="32"/>
              </w:rPr>
              <w:t xml:space="preserve">BEST PRACTICES ACROSS CONTENT AREAS 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before="120" w:after="120"/>
              <w:jc w:val="center"/>
              <w:rPr>
                <w:sz w:val="24"/>
              </w:rPr>
            </w:pPr>
            <w:r w:rsidRPr="00B57076">
              <w:rPr>
                <w:b/>
                <w:sz w:val="24"/>
              </w:rPr>
              <w:t>Increase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before="120" w:after="120"/>
              <w:jc w:val="center"/>
              <w:rPr>
                <w:sz w:val="24"/>
              </w:rPr>
            </w:pPr>
            <w:r w:rsidRPr="00B57076">
              <w:rPr>
                <w:b/>
                <w:sz w:val="24"/>
              </w:rPr>
              <w:t>Decrease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Experiential, inductive, hands-on learning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Whole-class, teacher directed instruction, e.g., lecturing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Active learning in the classroom signified by increased student conversation, movement, collaboration, doing, experiencing, and performing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Student passivity: sitting, listening, receiving, and absorbing information</w:t>
            </w:r>
          </w:p>
          <w:p w:rsidR="00B57076" w:rsidRPr="00B57076" w:rsidRDefault="00B57076" w:rsidP="00B57076">
            <w:pPr>
              <w:spacing w:after="120"/>
            </w:pPr>
            <w:r w:rsidRPr="00B57076">
              <w:t>Prizing and rewarding silence in the classroom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Emphasis on higher-order thinking; learning a field’s key concepts and principals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Classroom time devoted to fill-in-the-blank worksheets, workbooks, or other seat work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Deep study of a smaller number of topics, so that students internalize the field’s way of inquiry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Attempts to cover large amounts of material in a very superficial way to complete all of the chapters in the textbook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Time devoted to reading whole, original, real books and nonfiction material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Time devoted to reading textbooks and basal readers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 xml:space="preserve">Responsibility transferred to students for their work: goal-setting, record-keeping, monitoring, evaluation 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 xml:space="preserve">Emphasis on competition and grades over learning 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Choice for students; e.g., picking their own books, writing topics, team partners, research projects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Teacher-directed activities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Enacting and modeling of the principles of democracy in school; involving students in decisions that affect them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Actions and decisions that do not include student input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Attention to affective needs and the varying cognitive styles of individual students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 xml:space="preserve">Emphasis on one instructional style and strategies that are not differentiated 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Cooperative, collaborative activity; developing the classroom as an interdependent community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Emphasis on independent or individual work products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Heterogeneously grouped classrooms where individual needs are met through inherently individualized activities, not segregation of bodies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Tracking or leveling students into “ability groups”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Delivery of special help to students in regular classrooms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Pull-out special programs</w:t>
            </w:r>
          </w:p>
        </w:tc>
      </w:tr>
      <w:tr w:rsidR="00B57076" w:rsidRPr="00B57076" w:rsidTr="002E1C9E"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Reliance upon teachers’ descriptive evaluation of student growth, including qualitative/ anecdotal observations</w:t>
            </w:r>
          </w:p>
        </w:tc>
        <w:tc>
          <w:tcPr>
            <w:tcW w:w="4788" w:type="dxa"/>
          </w:tcPr>
          <w:p w:rsidR="00B57076" w:rsidRPr="00B57076" w:rsidRDefault="00B57076" w:rsidP="00B57076">
            <w:pPr>
              <w:spacing w:after="120"/>
            </w:pPr>
            <w:r w:rsidRPr="00B57076">
              <w:t>Use of and reliance on standardized tests</w:t>
            </w:r>
          </w:p>
        </w:tc>
      </w:tr>
    </w:tbl>
    <w:p w:rsidR="00B57076" w:rsidRDefault="00B57076"/>
    <w:p w:rsidR="00B57076" w:rsidRDefault="00B57076"/>
    <w:sectPr w:rsidR="00B5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CFAD3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76"/>
    <w:rsid w:val="00137888"/>
    <w:rsid w:val="005D4BE5"/>
    <w:rsid w:val="008675CB"/>
    <w:rsid w:val="00946406"/>
    <w:rsid w:val="00B57076"/>
    <w:rsid w:val="00C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9FFB7-7501-4C95-8FD0-21A2ADED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Latishia - Division of Program Standards</dc:creator>
  <cp:lastModifiedBy>Fraker, Jennifer L - Division of Program Standards</cp:lastModifiedBy>
  <cp:revision>2</cp:revision>
  <dcterms:created xsi:type="dcterms:W3CDTF">2015-06-09T02:14:00Z</dcterms:created>
  <dcterms:modified xsi:type="dcterms:W3CDTF">2015-06-09T02:14:00Z</dcterms:modified>
</cp:coreProperties>
</file>