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1085"/>
        <w:gridCol w:w="1465"/>
        <w:gridCol w:w="2430"/>
        <w:gridCol w:w="2495"/>
      </w:tblGrid>
      <w:tr w:rsidR="003D5D30" w:rsidTr="00A53C31">
        <w:tc>
          <w:tcPr>
            <w:tcW w:w="9830" w:type="dxa"/>
            <w:gridSpan w:val="5"/>
            <w:shd w:val="clear" w:color="auto" w:fill="17365D"/>
            <w:vAlign w:val="center"/>
          </w:tcPr>
          <w:p w:rsidR="003D5D30" w:rsidRDefault="003C17F0">
            <w:pPr>
              <w:contextualSpacing w:val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1155CC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Unit Title:</w:t>
            </w:r>
          </w:p>
        </w:tc>
      </w:tr>
      <w:tr w:rsidR="003D5D30" w:rsidTr="00A53C31">
        <w:tc>
          <w:tcPr>
            <w:tcW w:w="2355" w:type="dxa"/>
            <w:shd w:val="clear" w:color="auto" w:fill="999999"/>
            <w:vAlign w:val="center"/>
          </w:tcPr>
          <w:p w:rsidR="003D5D30" w:rsidRPr="00AF023F" w:rsidRDefault="003C17F0">
            <w:pPr>
              <w:spacing w:before="60" w:after="60"/>
              <w:contextualSpacing w:val="0"/>
              <w:jc w:val="center"/>
              <w:rPr>
                <w:color w:val="FFFFFF" w:themeColor="background1"/>
              </w:rPr>
            </w:pPr>
            <w:r w:rsidRPr="00AF023F">
              <w:rPr>
                <w:rFonts w:ascii="Calibri" w:eastAsia="Calibri" w:hAnsi="Calibri" w:cs="Calibri"/>
                <w:color w:val="FFFFFF" w:themeColor="background1"/>
                <w:sz w:val="21"/>
              </w:rPr>
              <w:t>Kentucky Academic Standards for Social Studies (KASS)</w:t>
            </w:r>
          </w:p>
        </w:tc>
        <w:tc>
          <w:tcPr>
            <w:tcW w:w="7475" w:type="dxa"/>
            <w:gridSpan w:val="4"/>
            <w:shd w:val="clear" w:color="auto" w:fill="FFFFFF"/>
            <w:vAlign w:val="center"/>
          </w:tcPr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 w:rsidTr="00A53C31">
        <w:tc>
          <w:tcPr>
            <w:tcW w:w="2355" w:type="dxa"/>
            <w:shd w:val="clear" w:color="auto" w:fill="999999"/>
            <w:vAlign w:val="center"/>
          </w:tcPr>
          <w:p w:rsidR="003D5D30" w:rsidRPr="00AF023F" w:rsidRDefault="003C17F0">
            <w:pPr>
              <w:spacing w:before="60" w:after="60"/>
              <w:contextualSpacing w:val="0"/>
              <w:jc w:val="center"/>
              <w:rPr>
                <w:color w:val="FFFFFF" w:themeColor="background1"/>
              </w:rPr>
            </w:pPr>
            <w:r w:rsidRPr="00AF023F">
              <w:rPr>
                <w:rFonts w:ascii="Calibri" w:eastAsia="Calibri" w:hAnsi="Calibri" w:cs="Calibri"/>
                <w:color w:val="FFFFFF" w:themeColor="background1"/>
                <w:sz w:val="21"/>
              </w:rPr>
              <w:t>Practices of the Inquiry Cycle</w:t>
            </w:r>
          </w:p>
        </w:tc>
        <w:tc>
          <w:tcPr>
            <w:tcW w:w="7475" w:type="dxa"/>
            <w:gridSpan w:val="4"/>
            <w:shd w:val="clear" w:color="auto" w:fill="FFFFFF"/>
            <w:vAlign w:val="center"/>
          </w:tcPr>
          <w:p w:rsidR="003D5D30" w:rsidRDefault="003D5D30">
            <w:pPr>
              <w:spacing w:before="60" w:after="60"/>
              <w:contextualSpacing w:val="0"/>
            </w:pPr>
          </w:p>
          <w:p w:rsidR="003D5D30" w:rsidRDefault="003D5D30">
            <w:pPr>
              <w:spacing w:before="60" w:after="60"/>
              <w:contextualSpacing w:val="0"/>
            </w:pPr>
          </w:p>
        </w:tc>
      </w:tr>
      <w:tr w:rsidR="003D5D30" w:rsidTr="00A53C31">
        <w:tc>
          <w:tcPr>
            <w:tcW w:w="2355" w:type="dxa"/>
            <w:shd w:val="clear" w:color="auto" w:fill="999999"/>
            <w:vAlign w:val="center"/>
          </w:tcPr>
          <w:p w:rsidR="003D5D30" w:rsidRPr="00AF023F" w:rsidRDefault="003C17F0">
            <w:pPr>
              <w:spacing w:before="60" w:after="60"/>
              <w:contextualSpacing w:val="0"/>
              <w:jc w:val="center"/>
              <w:rPr>
                <w:color w:val="FFFFFF" w:themeColor="background1"/>
              </w:rPr>
            </w:pPr>
            <w:bookmarkStart w:id="1" w:name="h.gjdgxs" w:colFirst="0" w:colLast="0"/>
            <w:bookmarkEnd w:id="1"/>
            <w:r w:rsidRPr="00AF023F">
              <w:rPr>
                <w:rFonts w:ascii="Calibri" w:eastAsia="Calibri" w:hAnsi="Calibri" w:cs="Calibri"/>
                <w:color w:val="FFFFFF" w:themeColor="background1"/>
                <w:sz w:val="21"/>
              </w:rPr>
              <w:t>What will students know and be able to do?</w:t>
            </w:r>
          </w:p>
        </w:tc>
        <w:tc>
          <w:tcPr>
            <w:tcW w:w="7475" w:type="dxa"/>
            <w:gridSpan w:val="4"/>
            <w:shd w:val="clear" w:color="auto" w:fill="FFFFFF"/>
            <w:vAlign w:val="center"/>
          </w:tcPr>
          <w:p w:rsidR="003D5D30" w:rsidRDefault="003D5D30">
            <w:pPr>
              <w:widowControl w:val="0"/>
              <w:spacing w:line="276" w:lineRule="auto"/>
              <w:contextualSpacing w:val="0"/>
            </w:pPr>
          </w:p>
        </w:tc>
      </w:tr>
      <w:tr w:rsidR="003D5D30" w:rsidTr="00A53C31">
        <w:trPr>
          <w:trHeight w:val="360"/>
        </w:trPr>
        <w:tc>
          <w:tcPr>
            <w:tcW w:w="9830" w:type="dxa"/>
            <w:gridSpan w:val="5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Compelling Question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5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5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Stimulus for Question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5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</w:pP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5"/>
            <w:shd w:val="clear" w:color="auto" w:fill="D9D9D9"/>
          </w:tcPr>
          <w:p w:rsidR="003D5D30" w:rsidRDefault="003C17F0" w:rsidP="00C1758F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Connections to All Disciplinary </w:t>
            </w:r>
            <w:r w:rsidR="00C1758F">
              <w:rPr>
                <w:rFonts w:ascii="Calibri" w:eastAsia="Calibri" w:hAnsi="Calibri" w:cs="Calibri"/>
                <w:b/>
                <w:sz w:val="21"/>
              </w:rPr>
              <w:t xml:space="preserve">Core Concepts </w:t>
            </w:r>
          </w:p>
        </w:tc>
      </w:tr>
      <w:tr w:rsidR="003D5D30" w:rsidTr="00A53C31">
        <w:trPr>
          <w:trHeight w:val="340"/>
        </w:trPr>
        <w:tc>
          <w:tcPr>
            <w:tcW w:w="9830" w:type="dxa"/>
            <w:gridSpan w:val="5"/>
            <w:shd w:val="clear" w:color="auto" w:fill="FFFFFF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Geographic Reasoning</w:t>
            </w:r>
          </w:p>
          <w:p w:rsidR="003D5D30" w:rsidRDefault="003D5D30">
            <w:pPr>
              <w:contextualSpacing w:val="0"/>
            </w:pPr>
          </w:p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Economic Decision Making</w:t>
            </w:r>
          </w:p>
          <w:p w:rsidR="003D5D30" w:rsidRDefault="003D5D30">
            <w:pPr>
              <w:contextualSpacing w:val="0"/>
            </w:pPr>
          </w:p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Civic Mindedness</w:t>
            </w:r>
          </w:p>
          <w:p w:rsidR="003D5D30" w:rsidRDefault="003D5D30">
            <w:pPr>
              <w:contextualSpacing w:val="0"/>
            </w:pPr>
          </w:p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21"/>
              </w:rPr>
              <w:t>Historical Thinking</w:t>
            </w:r>
          </w:p>
          <w:p w:rsidR="003D5D30" w:rsidRDefault="003D5D30">
            <w:pPr>
              <w:contextualSpacing w:val="0"/>
            </w:pPr>
          </w:p>
        </w:tc>
      </w:tr>
      <w:tr w:rsidR="003D5D30" w:rsidTr="00A53C31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550" w:type="dxa"/>
            <w:gridSpan w:val="2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95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</w:tr>
      <w:tr w:rsidR="003D5D30" w:rsidTr="00A53C31">
        <w:tc>
          <w:tcPr>
            <w:tcW w:w="2355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5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c>
          <w:tcPr>
            <w:tcW w:w="2355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550" w:type="dxa"/>
            <w:gridSpan w:val="2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95" w:type="dxa"/>
            <w:shd w:val="clear" w:color="auto" w:fill="CCCCCC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</w:tr>
      <w:tr w:rsidR="003D5D30" w:rsidTr="00A53C31">
        <w:tc>
          <w:tcPr>
            <w:tcW w:w="2355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5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 w:rsidTr="00A53C31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550" w:type="dxa"/>
            <w:gridSpan w:val="2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95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</w:tr>
      <w:tr w:rsidR="003D5D30" w:rsidTr="00A53C31">
        <w:tc>
          <w:tcPr>
            <w:tcW w:w="2355" w:type="dxa"/>
          </w:tcPr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</w:tc>
        <w:tc>
          <w:tcPr>
            <w:tcW w:w="2550" w:type="dxa"/>
            <w:gridSpan w:val="2"/>
          </w:tcPr>
          <w:p w:rsidR="003D5D30" w:rsidRDefault="003D5D30">
            <w:pPr>
              <w:contextualSpacing w:val="0"/>
            </w:pPr>
          </w:p>
        </w:tc>
        <w:tc>
          <w:tcPr>
            <w:tcW w:w="243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95" w:type="dxa"/>
          </w:tcPr>
          <w:p w:rsidR="003D5D30" w:rsidRDefault="003D5D30">
            <w:pPr>
              <w:contextualSpacing w:val="0"/>
            </w:pPr>
          </w:p>
        </w:tc>
      </w:tr>
      <w:tr w:rsidR="00C1758F" w:rsidTr="00AF023F">
        <w:trPr>
          <w:trHeight w:val="782"/>
        </w:trPr>
        <w:tc>
          <w:tcPr>
            <w:tcW w:w="2355" w:type="dxa"/>
            <w:vMerge w:val="restart"/>
            <w:shd w:val="clear" w:color="auto" w:fill="808080" w:themeFill="background1" w:themeFillShade="80"/>
            <w:vAlign w:val="center"/>
          </w:tcPr>
          <w:p w:rsidR="00C1758F" w:rsidRPr="00A53C31" w:rsidRDefault="00C1758F">
            <w:pPr>
              <w:contextualSpacing w:val="0"/>
              <w:jc w:val="center"/>
              <w:rPr>
                <w:color w:val="FFFFFF" w:themeColor="background1"/>
              </w:rPr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 xml:space="preserve">Culminating </w:t>
            </w:r>
          </w:p>
          <w:p w:rsidR="00C1758F" w:rsidRDefault="00C1758F" w:rsidP="001F3342">
            <w:pPr>
              <w:contextualSpacing w:val="0"/>
              <w:jc w:val="center"/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 xml:space="preserve">Performance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58F" w:rsidRPr="005311D5" w:rsidRDefault="00C1758F" w:rsidP="00662F80">
            <w:pPr>
              <w:contextualSpacing w:val="0"/>
            </w:pPr>
            <w:r w:rsidRPr="005311D5">
              <w:rPr>
                <w:rFonts w:ascii="Calibri" w:eastAsia="Calibri" w:hAnsi="Calibri" w:cs="Calibri"/>
                <w:sz w:val="21"/>
              </w:rPr>
              <w:t>Task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1758F" w:rsidRDefault="00C1758F">
            <w:pPr>
              <w:rPr>
                <w:rFonts w:ascii="Calibri" w:eastAsia="Calibri" w:hAnsi="Calibri" w:cs="Calibri"/>
                <w:b/>
                <w:sz w:val="21"/>
              </w:rPr>
            </w:pPr>
          </w:p>
        </w:tc>
      </w:tr>
      <w:tr w:rsidR="00C1758F" w:rsidTr="00AF023F">
        <w:trPr>
          <w:trHeight w:val="800"/>
        </w:trPr>
        <w:tc>
          <w:tcPr>
            <w:tcW w:w="2355" w:type="dxa"/>
            <w:vMerge/>
            <w:shd w:val="clear" w:color="auto" w:fill="808080" w:themeFill="background1" w:themeFillShade="80"/>
            <w:vAlign w:val="center"/>
          </w:tcPr>
          <w:p w:rsidR="00C1758F" w:rsidRDefault="00C1758F">
            <w:pPr>
              <w:contextualSpacing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1D5" w:rsidRPr="005311D5" w:rsidRDefault="005311D5" w:rsidP="005311D5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</w:p>
          <w:p w:rsidR="005311D5" w:rsidRPr="005311D5" w:rsidRDefault="00E7093D" w:rsidP="005311D5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  <w:r w:rsidRPr="005311D5">
              <w:rPr>
                <w:rFonts w:ascii="Calibri" w:eastAsia="Calibri" w:hAnsi="Calibri" w:cs="Calibri"/>
                <w:sz w:val="21"/>
              </w:rPr>
              <w:t>Extension</w:t>
            </w:r>
          </w:p>
          <w:p w:rsidR="005311D5" w:rsidRPr="005311D5" w:rsidRDefault="005311D5" w:rsidP="005311D5">
            <w:pPr>
              <w:contextualSpacing w:val="0"/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758F" w:rsidRDefault="00C1758F">
            <w:pPr>
              <w:rPr>
                <w:rFonts w:ascii="Calibri" w:eastAsia="Calibri" w:hAnsi="Calibri" w:cs="Calibri"/>
                <w:b/>
                <w:sz w:val="21"/>
              </w:rPr>
            </w:pPr>
          </w:p>
        </w:tc>
      </w:tr>
      <w:tr w:rsidR="00A53C31" w:rsidTr="00AF023F">
        <w:trPr>
          <w:trHeight w:val="800"/>
        </w:trPr>
        <w:tc>
          <w:tcPr>
            <w:tcW w:w="2355" w:type="dxa"/>
            <w:shd w:val="clear" w:color="auto" w:fill="808080" w:themeFill="background1" w:themeFillShade="80"/>
            <w:vAlign w:val="center"/>
          </w:tcPr>
          <w:p w:rsidR="00A53C31" w:rsidRDefault="00A53C31" w:rsidP="00A53C31">
            <w:pPr>
              <w:jc w:val="center"/>
            </w:pPr>
            <w:r w:rsidRPr="00A53C31">
              <w:rPr>
                <w:rFonts w:ascii="Calibri" w:eastAsia="Calibri" w:hAnsi="Calibri" w:cs="Calibri"/>
                <w:color w:val="FFFFFF" w:themeColor="background1"/>
                <w:sz w:val="21"/>
              </w:rPr>
              <w:t>Taking Informed Action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3C31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Understand:</w:t>
            </w: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Assess:</w:t>
            </w: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</w:p>
          <w:p w:rsidR="00AF023F" w:rsidRDefault="00AF023F" w:rsidP="00AF023F">
            <w:pPr>
              <w:rPr>
                <w:rFonts w:ascii="Calibri" w:eastAsia="Calibri" w:hAnsi="Calibri" w:cs="Calibri"/>
                <w:b/>
                <w:sz w:val="21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Act:</w:t>
            </w:r>
          </w:p>
        </w:tc>
      </w:tr>
    </w:tbl>
    <w:p w:rsidR="003D5D30" w:rsidRDefault="003D5D30" w:rsidP="0042738C"/>
    <w:sectPr w:rsidR="003D5D30" w:rsidSect="0042738C">
      <w:pgSz w:w="12240" w:h="15840"/>
      <w:pgMar w:top="720" w:right="720" w:bottom="45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0"/>
    <w:rsid w:val="001F3342"/>
    <w:rsid w:val="003C17F0"/>
    <w:rsid w:val="003D5D30"/>
    <w:rsid w:val="0042738C"/>
    <w:rsid w:val="005311D5"/>
    <w:rsid w:val="00662F80"/>
    <w:rsid w:val="00A53C31"/>
    <w:rsid w:val="00AF023F"/>
    <w:rsid w:val="00C1758F"/>
    <w:rsid w:val="00E7093D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C2CC9-84A3-46CE-9DAA-981123E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Fraker, Jennifer L - Division of Program Standards</cp:lastModifiedBy>
  <cp:revision>2</cp:revision>
  <dcterms:created xsi:type="dcterms:W3CDTF">2015-06-06T04:09:00Z</dcterms:created>
  <dcterms:modified xsi:type="dcterms:W3CDTF">2015-06-06T04:09:00Z</dcterms:modified>
</cp:coreProperties>
</file>