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8" w:rsidRDefault="007045AA">
      <w:pPr>
        <w:spacing w:after="0"/>
        <w:ind w:left="595"/>
      </w:pPr>
      <w:r>
        <w:rPr>
          <w:rFonts w:ascii="Arial" w:eastAsia="Arial" w:hAnsi="Arial" w:cs="Arial"/>
          <w:b/>
          <w:color w:val="000090"/>
          <w:sz w:val="32"/>
        </w:rPr>
        <w:t xml:space="preserve">  DESIGNING THE QUESTION FOCUS (QFOCUS)</w:t>
      </w:r>
      <w:r>
        <w:rPr>
          <w:rFonts w:ascii="Cambria" w:eastAsia="Cambria" w:hAnsi="Cambria" w:cs="Cambria"/>
          <w:color w:val="000090"/>
          <w:sz w:val="32"/>
        </w:rPr>
        <w:tab/>
        <w:t xml:space="preserve">   </w:t>
      </w:r>
    </w:p>
    <w:p w:rsidR="00205728" w:rsidRDefault="007045AA">
      <w:pPr>
        <w:spacing w:after="0"/>
        <w:ind w:left="360"/>
      </w:pPr>
      <w:r>
        <w:rPr>
          <w:rFonts w:ascii="Arial" w:eastAsia="Arial" w:hAnsi="Arial" w:cs="Arial"/>
          <w:color w:val="000090"/>
          <w:sz w:val="24"/>
        </w:rPr>
        <w:t xml:space="preserve"> </w:t>
      </w:r>
    </w:p>
    <w:p w:rsidR="00205728" w:rsidRDefault="007045AA">
      <w:pPr>
        <w:spacing w:after="0"/>
        <w:ind w:left="306"/>
        <w:jc w:val="center"/>
      </w:pPr>
      <w:r>
        <w:rPr>
          <w:rFonts w:ascii="Arial" w:eastAsia="Arial" w:hAnsi="Arial" w:cs="Arial"/>
          <w:i/>
          <w:sz w:val="24"/>
        </w:rPr>
        <w:t xml:space="preserve">Introduction to </w:t>
      </w:r>
      <w:proofErr w:type="spellStart"/>
      <w:r>
        <w:rPr>
          <w:rFonts w:ascii="Arial" w:eastAsia="Arial" w:hAnsi="Arial" w:cs="Arial"/>
          <w:i/>
          <w:sz w:val="24"/>
        </w:rPr>
        <w:t>QFocus</w:t>
      </w:r>
      <w:proofErr w:type="spellEnd"/>
      <w:r>
        <w:rPr>
          <w:rFonts w:ascii="Arial" w:eastAsia="Arial" w:hAnsi="Arial" w:cs="Arial"/>
          <w:i/>
          <w:sz w:val="24"/>
        </w:rPr>
        <w:t xml:space="preserve"> Design </w:t>
      </w:r>
    </w:p>
    <w:p w:rsidR="00205728" w:rsidRDefault="007045AA">
      <w:pPr>
        <w:spacing w:after="0"/>
        <w:ind w:left="372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205728" w:rsidRDefault="007045AA">
      <w:pPr>
        <w:spacing w:after="0" w:line="255" w:lineRule="auto"/>
        <w:ind w:left="10" w:hanging="10"/>
      </w:pPr>
      <w:r>
        <w:rPr>
          <w:rFonts w:ascii="Arial" w:eastAsia="Arial" w:hAnsi="Arial" w:cs="Arial"/>
          <w:i/>
          <w:sz w:val="24"/>
        </w:rPr>
        <w:t xml:space="preserve">The Question Focus is the catalyst for students to generate their own questions.  The </w:t>
      </w:r>
      <w:proofErr w:type="spellStart"/>
      <w:r>
        <w:rPr>
          <w:rFonts w:ascii="Arial" w:eastAsia="Arial" w:hAnsi="Arial" w:cs="Arial"/>
          <w:i/>
          <w:sz w:val="24"/>
        </w:rPr>
        <w:t>QFocus</w:t>
      </w:r>
      <w:proofErr w:type="spellEnd"/>
      <w:r>
        <w:rPr>
          <w:rFonts w:ascii="Arial" w:eastAsia="Arial" w:hAnsi="Arial" w:cs="Arial"/>
          <w:i/>
          <w:sz w:val="24"/>
        </w:rPr>
        <w:t xml:space="preserve"> should be directly related to the content you need to teach and what they need to learn. You will need a </w:t>
      </w:r>
      <w:proofErr w:type="spellStart"/>
      <w:r>
        <w:rPr>
          <w:rFonts w:ascii="Arial" w:eastAsia="Arial" w:hAnsi="Arial" w:cs="Arial"/>
          <w:i/>
          <w:sz w:val="24"/>
        </w:rPr>
        <w:t>QFocus</w:t>
      </w:r>
      <w:proofErr w:type="spellEnd"/>
      <w:r>
        <w:rPr>
          <w:rFonts w:ascii="Arial" w:eastAsia="Arial" w:hAnsi="Arial" w:cs="Arial"/>
          <w:i/>
          <w:sz w:val="24"/>
        </w:rPr>
        <w:t xml:space="preserve"> each time you use the Question Formulation Technique. </w:t>
      </w:r>
    </w:p>
    <w:p w:rsidR="00205728" w:rsidRDefault="007045A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>
      <w:pPr>
        <w:spacing w:after="0" w:line="255" w:lineRule="auto"/>
        <w:ind w:left="10" w:hanging="10"/>
      </w:pPr>
      <w:r>
        <w:rPr>
          <w:rFonts w:ascii="Arial" w:eastAsia="Arial" w:hAnsi="Arial" w:cs="Arial"/>
          <w:i/>
          <w:sz w:val="24"/>
        </w:rPr>
        <w:t xml:space="preserve">Go through the step-by-step process to design a </w:t>
      </w:r>
      <w:proofErr w:type="spellStart"/>
      <w:r>
        <w:rPr>
          <w:rFonts w:ascii="Arial" w:eastAsia="Arial" w:hAnsi="Arial" w:cs="Arial"/>
          <w:i/>
          <w:sz w:val="24"/>
        </w:rPr>
        <w:t>QFocus</w:t>
      </w:r>
      <w:proofErr w:type="spellEnd"/>
      <w:r>
        <w:rPr>
          <w:rFonts w:ascii="Arial" w:eastAsia="Arial" w:hAnsi="Arial" w:cs="Arial"/>
          <w:i/>
          <w:sz w:val="24"/>
        </w:rPr>
        <w:t xml:space="preserve"> you can use to teach your students to ask their own questions.    </w:t>
      </w:r>
    </w:p>
    <w:p w:rsidR="00205728" w:rsidRDefault="007045A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>
      <w:pPr>
        <w:pStyle w:val="Heading1"/>
        <w:ind w:left="355"/>
      </w:pPr>
      <w:r>
        <w:t>Subject area</w:t>
      </w:r>
      <w:proofErr w:type="gramStart"/>
      <w:r>
        <w:t>:_</w:t>
      </w:r>
      <w:proofErr w:type="gramEnd"/>
      <w:r>
        <w:t xml:space="preserve">_______________________________________Grade:___________________ </w:t>
      </w:r>
    </w:p>
    <w:p w:rsidR="00205728" w:rsidRDefault="007045AA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>
      <w:pPr>
        <w:spacing w:after="4"/>
        <w:ind w:left="-738" w:right="-1123"/>
      </w:pPr>
      <w:r>
        <w:rPr>
          <w:noProof/>
        </w:rPr>
        <w:drawing>
          <wp:inline distT="0" distB="0" distL="0" distR="0">
            <wp:extent cx="6931152" cy="4578096"/>
            <wp:effectExtent l="0" t="0" r="0" b="0"/>
            <wp:docPr id="50078" name="Picture 5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78" name="Picture 500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152" cy="45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A7" w:rsidRPr="001148A7" w:rsidRDefault="007045AA" w:rsidP="001148A7">
      <w:pPr>
        <w:spacing w:after="0"/>
        <w:ind w:left="360"/>
        <w:rPr>
          <w:sz w:val="24"/>
          <w:szCs w:val="24"/>
        </w:rPr>
      </w:pPr>
      <w:r w:rsidRPr="001148A7">
        <w:rPr>
          <w:rFonts w:ascii="Arial" w:eastAsia="Arial" w:hAnsi="Arial" w:cs="Arial"/>
          <w:sz w:val="24"/>
          <w:szCs w:val="24"/>
        </w:rPr>
        <w:t xml:space="preserve"> </w:t>
      </w:r>
    </w:p>
    <w:p w:rsidR="00205728" w:rsidRPr="001148A7" w:rsidRDefault="007045AA" w:rsidP="001148A7">
      <w:pPr>
        <w:spacing w:after="0"/>
        <w:ind w:left="360"/>
        <w:rPr>
          <w:sz w:val="24"/>
          <w:szCs w:val="24"/>
        </w:rPr>
      </w:pPr>
      <w:r w:rsidRPr="001148A7">
        <w:rPr>
          <w:b/>
          <w:sz w:val="24"/>
          <w:szCs w:val="24"/>
          <w:u w:val="single"/>
        </w:rPr>
        <w:t xml:space="preserve">QUESTION FOCUS FORMAT AND CRITERIA </w:t>
      </w:r>
    </w:p>
    <w:p w:rsidR="00205728" w:rsidRDefault="007045AA" w:rsidP="001148A7">
      <w:pPr>
        <w:spacing w:after="10" w:line="257" w:lineRule="auto"/>
        <w:ind w:left="355" w:hanging="10"/>
      </w:pPr>
      <w:r>
        <w:rPr>
          <w:rFonts w:ascii="Arial" w:eastAsia="Arial" w:hAnsi="Arial" w:cs="Arial"/>
          <w:sz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</w:rPr>
        <w:t>QFocus</w:t>
      </w:r>
      <w:proofErr w:type="spellEnd"/>
      <w:r>
        <w:rPr>
          <w:rFonts w:ascii="Arial" w:eastAsia="Arial" w:hAnsi="Arial" w:cs="Arial"/>
          <w:sz w:val="24"/>
        </w:rPr>
        <w:t xml:space="preserve"> can be a statement, a visual or aural aid in any medium </w:t>
      </w:r>
      <w:r>
        <w:rPr>
          <w:rFonts w:ascii="Arial" w:eastAsia="Arial" w:hAnsi="Arial" w:cs="Arial"/>
          <w:sz w:val="24"/>
          <w:u w:val="single" w:color="000000"/>
        </w:rPr>
        <w:t>related to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the content you are teachin</w:t>
      </w:r>
      <w:r>
        <w:rPr>
          <w:rFonts w:ascii="Arial" w:eastAsia="Arial" w:hAnsi="Arial" w:cs="Arial"/>
          <w:sz w:val="24"/>
        </w:rPr>
        <w:t xml:space="preserve">g.  </w:t>
      </w:r>
    </w:p>
    <w:p w:rsidR="00205728" w:rsidRDefault="007045AA">
      <w:pPr>
        <w:spacing w:after="10" w:line="257" w:lineRule="auto"/>
        <w:ind w:left="355" w:hanging="10"/>
      </w:pPr>
      <w:r>
        <w:rPr>
          <w:rFonts w:ascii="Arial" w:eastAsia="Arial" w:hAnsi="Arial" w:cs="Arial"/>
          <w:sz w:val="24"/>
        </w:rPr>
        <w:t xml:space="preserve">Three basic criteria for designing a </w:t>
      </w:r>
      <w:proofErr w:type="spellStart"/>
      <w:r>
        <w:rPr>
          <w:rFonts w:ascii="Arial" w:eastAsia="Arial" w:hAnsi="Arial" w:cs="Arial"/>
          <w:sz w:val="24"/>
        </w:rPr>
        <w:t>QFocus</w:t>
      </w:r>
      <w:proofErr w:type="spellEnd"/>
      <w:r>
        <w:rPr>
          <w:rFonts w:ascii="Arial" w:eastAsia="Arial" w:hAnsi="Arial" w:cs="Arial"/>
          <w:sz w:val="24"/>
        </w:rPr>
        <w:t xml:space="preserve">: </w:t>
      </w:r>
    </w:p>
    <w:p w:rsidR="00205728" w:rsidRDefault="007045AA">
      <w:pPr>
        <w:numPr>
          <w:ilvl w:val="0"/>
          <w:numId w:val="1"/>
        </w:numPr>
        <w:spacing w:after="130" w:line="255" w:lineRule="auto"/>
        <w:ind w:hanging="360"/>
      </w:pPr>
      <w:r>
        <w:rPr>
          <w:rFonts w:ascii="Arial" w:eastAsia="Arial" w:hAnsi="Arial" w:cs="Arial"/>
          <w:i/>
          <w:sz w:val="24"/>
        </w:rPr>
        <w:t xml:space="preserve">It should not be a question. </w:t>
      </w:r>
    </w:p>
    <w:p w:rsidR="00205728" w:rsidRDefault="007045AA">
      <w:pPr>
        <w:spacing w:after="41" w:line="235" w:lineRule="auto"/>
        <w:ind w:left="355" w:right="1587" w:hanging="10"/>
      </w:pPr>
      <w:r>
        <w:rPr>
          <w:rFonts w:ascii="Times New Roman" w:eastAsia="Times New Roman" w:hAnsi="Times New Roman" w:cs="Times New Roman"/>
          <w:sz w:val="16"/>
        </w:rPr>
        <w:t xml:space="preserve">©2013 The Right Question Institute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43712" cy="1371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</w:t>
      </w:r>
    </w:p>
    <w:p w:rsidR="00205728" w:rsidRDefault="007045A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5728" w:rsidRDefault="007045AA">
      <w:pPr>
        <w:numPr>
          <w:ilvl w:val="0"/>
          <w:numId w:val="1"/>
        </w:numPr>
        <w:spacing w:after="0" w:line="255" w:lineRule="auto"/>
        <w:ind w:hanging="360"/>
      </w:pPr>
      <w:r>
        <w:rPr>
          <w:rFonts w:ascii="Arial" w:eastAsia="Arial" w:hAnsi="Arial" w:cs="Arial"/>
          <w:i/>
          <w:sz w:val="24"/>
        </w:rPr>
        <w:lastRenderedPageBreak/>
        <w:t xml:space="preserve">It should produce different lines of questioning. </w:t>
      </w:r>
    </w:p>
    <w:p w:rsidR="00205728" w:rsidRDefault="007045AA">
      <w:pPr>
        <w:numPr>
          <w:ilvl w:val="0"/>
          <w:numId w:val="1"/>
        </w:numPr>
        <w:spacing w:after="0" w:line="255" w:lineRule="auto"/>
        <w:ind w:hanging="360"/>
      </w:pPr>
      <w:r>
        <w:rPr>
          <w:rFonts w:ascii="Arial" w:eastAsia="Arial" w:hAnsi="Arial" w:cs="Arial"/>
          <w:i/>
          <w:sz w:val="24"/>
        </w:rPr>
        <w:t xml:space="preserve">The simpler, the better. </w:t>
      </w:r>
    </w:p>
    <w:p w:rsidR="00205728" w:rsidRDefault="007045AA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 w:rsidP="001148A7">
      <w:pPr>
        <w:pStyle w:val="Heading1"/>
        <w:ind w:left="355"/>
      </w:pPr>
      <w:r>
        <w:t xml:space="preserve">PROCESS FOR DESIGNING THE QFOCUS </w:t>
      </w:r>
      <w:bookmarkStart w:id="0" w:name="_GoBack"/>
      <w:bookmarkEnd w:id="0"/>
    </w:p>
    <w:p w:rsidR="00205728" w:rsidRDefault="007045AA">
      <w:pPr>
        <w:numPr>
          <w:ilvl w:val="0"/>
          <w:numId w:val="2"/>
        </w:numPr>
        <w:spacing w:after="10" w:line="257" w:lineRule="auto"/>
        <w:ind w:hanging="360"/>
      </w:pPr>
      <w:r>
        <w:rPr>
          <w:rFonts w:ascii="Arial" w:eastAsia="Arial" w:hAnsi="Arial" w:cs="Arial"/>
          <w:sz w:val="24"/>
        </w:rPr>
        <w:t>List 3-</w:t>
      </w:r>
      <w:proofErr w:type="gramStart"/>
      <w:r>
        <w:rPr>
          <w:rFonts w:ascii="Arial" w:eastAsia="Arial" w:hAnsi="Arial" w:cs="Arial"/>
          <w:sz w:val="24"/>
        </w:rPr>
        <w:t>4  ideas</w:t>
      </w:r>
      <w:proofErr w:type="gramEnd"/>
      <w:r>
        <w:rPr>
          <w:rFonts w:ascii="Arial" w:eastAsia="Arial" w:hAnsi="Arial" w:cs="Arial"/>
          <w:sz w:val="24"/>
        </w:rPr>
        <w:t xml:space="preserve"> you could use for a Question Focus.  </w:t>
      </w:r>
    </w:p>
    <w:p w:rsidR="00205728" w:rsidRDefault="007045AA">
      <w:pPr>
        <w:numPr>
          <w:ilvl w:val="0"/>
          <w:numId w:val="2"/>
        </w:numPr>
        <w:spacing w:after="10" w:line="257" w:lineRule="auto"/>
        <w:ind w:hanging="360"/>
      </w:pPr>
      <w:r>
        <w:rPr>
          <w:rFonts w:ascii="Arial" w:eastAsia="Arial" w:hAnsi="Arial" w:cs="Arial"/>
          <w:sz w:val="24"/>
        </w:rPr>
        <w:t xml:space="preserve">Try to imagine different lines of questioning.  </w:t>
      </w:r>
    </w:p>
    <w:p w:rsidR="00205728" w:rsidRDefault="007045AA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>
      <w:pPr>
        <w:spacing w:after="2"/>
        <w:ind w:left="-738" w:right="-1037"/>
      </w:pPr>
      <w:r>
        <w:rPr>
          <w:noProof/>
        </w:rPr>
        <w:drawing>
          <wp:inline distT="0" distB="0" distL="0" distR="0">
            <wp:extent cx="6876288" cy="2947416"/>
            <wp:effectExtent l="0" t="0" r="0" b="0"/>
            <wp:docPr id="50080" name="Picture 5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0" name="Picture 500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294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28" w:rsidRDefault="007045AA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>
      <w:pPr>
        <w:numPr>
          <w:ilvl w:val="0"/>
          <w:numId w:val="2"/>
        </w:numPr>
        <w:spacing w:after="10" w:line="257" w:lineRule="auto"/>
        <w:ind w:hanging="360"/>
      </w:pPr>
      <w:r>
        <w:rPr>
          <w:rFonts w:ascii="Arial" w:eastAsia="Arial" w:hAnsi="Arial" w:cs="Arial"/>
          <w:sz w:val="24"/>
        </w:rPr>
        <w:t xml:space="preserve">Assess whether or not your </w:t>
      </w:r>
      <w:proofErr w:type="spellStart"/>
      <w:r>
        <w:rPr>
          <w:rFonts w:ascii="Arial" w:eastAsia="Arial" w:hAnsi="Arial" w:cs="Arial"/>
          <w:sz w:val="24"/>
        </w:rPr>
        <w:t>QFocus</w:t>
      </w:r>
      <w:proofErr w:type="spellEnd"/>
      <w:r>
        <w:rPr>
          <w:rFonts w:ascii="Arial" w:eastAsia="Arial" w:hAnsi="Arial" w:cs="Arial"/>
          <w:sz w:val="24"/>
        </w:rPr>
        <w:t xml:space="preserve"> meets the basic criteria and your purpose for using the QFT.  Check all that apply. </w:t>
      </w:r>
    </w:p>
    <w:p w:rsidR="00205728" w:rsidRDefault="007045AA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6749" w:type="dxa"/>
        <w:tblInd w:w="811" w:type="dxa"/>
        <w:tblCellMar>
          <w:top w:w="6" w:type="dxa"/>
          <w:right w:w="59" w:type="dxa"/>
        </w:tblCellMar>
        <w:tblLook w:val="04A0" w:firstRow="1" w:lastRow="0" w:firstColumn="1" w:lastColumn="0" w:noHBand="0" w:noVBand="1"/>
      </w:tblPr>
      <w:tblGrid>
        <w:gridCol w:w="1096"/>
        <w:gridCol w:w="3315"/>
        <w:gridCol w:w="538"/>
        <w:gridCol w:w="542"/>
        <w:gridCol w:w="629"/>
        <w:gridCol w:w="629"/>
      </w:tblGrid>
      <w:tr w:rsidR="00205728">
        <w:trPr>
          <w:trHeight w:val="298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Criteria  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728" w:rsidRDefault="00205728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Idea # 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5728" w:rsidRDefault="00205728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728" w:rsidRDefault="00205728"/>
        </w:tc>
      </w:tr>
      <w:tr w:rsidR="0020572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728" w:rsidRDefault="0020572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728" w:rsidRDefault="00205728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205728">
        <w:trPr>
          <w:trHeight w:val="58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728" w:rsidRDefault="007045AA">
            <w:pPr>
              <w:ind w:right="67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90"/>
            </w:pPr>
            <w:r>
              <w:rPr>
                <w:rFonts w:ascii="Arial" w:eastAsia="Arial" w:hAnsi="Arial" w:cs="Arial"/>
                <w:i/>
                <w:sz w:val="24"/>
              </w:rPr>
              <w:t xml:space="preserve">It is </w:t>
            </w:r>
            <w:r>
              <w:rPr>
                <w:rFonts w:ascii="Arial" w:eastAsia="Arial" w:hAnsi="Arial" w:cs="Arial"/>
                <w:i/>
                <w:sz w:val="24"/>
                <w:u w:val="single" w:color="000000"/>
              </w:rPr>
              <w:t>no</w:t>
            </w:r>
            <w:r>
              <w:rPr>
                <w:rFonts w:ascii="Arial" w:eastAsia="Arial" w:hAnsi="Arial" w:cs="Arial"/>
                <w:i/>
                <w:sz w:val="24"/>
              </w:rPr>
              <w:t xml:space="preserve">t a question.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5728">
        <w:trPr>
          <w:trHeight w:val="86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728" w:rsidRDefault="007045AA">
            <w:pPr>
              <w:spacing w:after="285"/>
              <w:ind w:right="67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90" w:right="42"/>
            </w:pPr>
            <w:r>
              <w:rPr>
                <w:rFonts w:ascii="Arial" w:eastAsia="Arial" w:hAnsi="Arial" w:cs="Arial"/>
                <w:i/>
                <w:sz w:val="24"/>
              </w:rPr>
              <w:t xml:space="preserve">It can stimulate different lines of questioning.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5728">
        <w:trPr>
          <w:trHeight w:val="29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728" w:rsidRDefault="007045AA">
            <w:pPr>
              <w:ind w:right="67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90"/>
            </w:pPr>
            <w:r>
              <w:rPr>
                <w:rFonts w:ascii="Arial" w:eastAsia="Arial" w:hAnsi="Arial" w:cs="Arial"/>
                <w:i/>
                <w:sz w:val="24"/>
              </w:rPr>
              <w:t xml:space="preserve">It is simple.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5728">
        <w:trPr>
          <w:trHeight w:val="8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728" w:rsidRDefault="007045AA">
            <w:pPr>
              <w:spacing w:after="2"/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05728" w:rsidRDefault="007045AA">
            <w:pPr>
              <w:ind w:left="736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728" w:rsidRDefault="007045AA">
            <w:r>
              <w:rPr>
                <w:rFonts w:ascii="Arial" w:eastAsia="Arial" w:hAnsi="Arial" w:cs="Arial"/>
                <w:sz w:val="24"/>
              </w:rPr>
              <w:t xml:space="preserve">Meets your purpose in using the QFT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28" w:rsidRDefault="007045A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05728" w:rsidRDefault="007045AA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205728" w:rsidRDefault="007045AA">
      <w:pPr>
        <w:spacing w:after="16"/>
        <w:ind w:left="360"/>
      </w:pPr>
      <w:r>
        <w:rPr>
          <w:rFonts w:ascii="Arial" w:eastAsia="Arial" w:hAnsi="Arial" w:cs="Arial"/>
          <w:b/>
        </w:rPr>
        <w:t xml:space="preserve"> </w:t>
      </w:r>
    </w:p>
    <w:p w:rsidR="00205728" w:rsidRDefault="007045AA" w:rsidP="009A2C85">
      <w:pPr>
        <w:numPr>
          <w:ilvl w:val="0"/>
          <w:numId w:val="2"/>
        </w:numPr>
        <w:spacing w:after="10" w:line="257" w:lineRule="auto"/>
        <w:ind w:hanging="360"/>
      </w:pPr>
      <w:r>
        <w:rPr>
          <w:rFonts w:ascii="Arial" w:eastAsia="Arial" w:hAnsi="Arial" w:cs="Arial"/>
          <w:sz w:val="24"/>
        </w:rPr>
        <w:t xml:space="preserve">Choose the </w:t>
      </w:r>
      <w:proofErr w:type="spellStart"/>
      <w:r>
        <w:rPr>
          <w:rFonts w:ascii="Arial" w:eastAsia="Arial" w:hAnsi="Arial" w:cs="Arial"/>
          <w:sz w:val="24"/>
        </w:rPr>
        <w:t>QFocus</w:t>
      </w:r>
      <w:proofErr w:type="spellEnd"/>
      <w:r>
        <w:rPr>
          <w:rFonts w:ascii="Arial" w:eastAsia="Arial" w:hAnsi="Arial" w:cs="Arial"/>
          <w:sz w:val="24"/>
        </w:rPr>
        <w:t xml:space="preserve"> idea that best meets your purpose in using the QFT.  </w:t>
      </w:r>
    </w:p>
    <w:p w:rsidR="00205728" w:rsidRDefault="007045AA">
      <w:pPr>
        <w:numPr>
          <w:ilvl w:val="0"/>
          <w:numId w:val="2"/>
        </w:numPr>
        <w:spacing w:after="10" w:line="257" w:lineRule="auto"/>
        <w:ind w:hanging="360"/>
      </w:pPr>
      <w:r>
        <w:rPr>
          <w:rFonts w:ascii="Arial" w:eastAsia="Arial" w:hAnsi="Arial" w:cs="Arial"/>
          <w:sz w:val="24"/>
        </w:rPr>
        <w:t xml:space="preserve">Think about the reasons why you chose this </w:t>
      </w:r>
      <w:proofErr w:type="spellStart"/>
      <w:r>
        <w:rPr>
          <w:rFonts w:ascii="Arial" w:eastAsia="Arial" w:hAnsi="Arial" w:cs="Arial"/>
          <w:sz w:val="24"/>
        </w:rPr>
        <w:t>QFocus</w:t>
      </w:r>
      <w:proofErr w:type="spellEnd"/>
      <w:r>
        <w:rPr>
          <w:rFonts w:ascii="Arial" w:eastAsia="Arial" w:hAnsi="Arial" w:cs="Arial"/>
          <w:sz w:val="24"/>
        </w:rPr>
        <w:t xml:space="preserve"> idea. </w:t>
      </w:r>
    </w:p>
    <w:p w:rsidR="00205728" w:rsidRDefault="007045AA">
      <w:pPr>
        <w:spacing w:after="398" w:line="257" w:lineRule="auto"/>
        <w:ind w:left="355" w:right="1377" w:hanging="10"/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Get feedback from peers and colleagues to improve the </w:t>
      </w:r>
      <w:proofErr w:type="spellStart"/>
      <w:r>
        <w:rPr>
          <w:rFonts w:ascii="Arial" w:eastAsia="Arial" w:hAnsi="Arial" w:cs="Arial"/>
          <w:sz w:val="24"/>
        </w:rPr>
        <w:t>QFocus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205728" w:rsidRDefault="007045AA">
      <w:pPr>
        <w:spacing w:after="41" w:line="235" w:lineRule="auto"/>
        <w:ind w:left="355" w:right="1587" w:hanging="10"/>
      </w:pPr>
      <w:r>
        <w:rPr>
          <w:rFonts w:ascii="Times New Roman" w:eastAsia="Times New Roman" w:hAnsi="Times New Roman" w:cs="Times New Roman"/>
          <w:sz w:val="16"/>
        </w:rPr>
        <w:t xml:space="preserve">©2013 The Right Question Institute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43712" cy="137160"/>
            <wp:effectExtent l="0" t="0" r="0" b="0"/>
            <wp:docPr id="9228" name="Picture 9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9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</w:t>
      </w:r>
    </w:p>
    <w:p w:rsidR="00205728" w:rsidRDefault="007045A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05728">
      <w:pgSz w:w="12240" w:h="15840"/>
      <w:pgMar w:top="435" w:right="1746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76D4"/>
    <w:multiLevelType w:val="hybridMultilevel"/>
    <w:tmpl w:val="0616C348"/>
    <w:lvl w:ilvl="0" w:tplc="1EAC0604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C57A">
      <w:start w:val="1"/>
      <w:numFmt w:val="bullet"/>
      <w:lvlText w:val="o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89F16">
      <w:start w:val="1"/>
      <w:numFmt w:val="bullet"/>
      <w:lvlText w:val="▪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0069A">
      <w:start w:val="1"/>
      <w:numFmt w:val="bullet"/>
      <w:lvlText w:val="•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44D86">
      <w:start w:val="1"/>
      <w:numFmt w:val="bullet"/>
      <w:lvlText w:val="o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4FB8E">
      <w:start w:val="1"/>
      <w:numFmt w:val="bullet"/>
      <w:lvlText w:val="▪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EECFC">
      <w:start w:val="1"/>
      <w:numFmt w:val="bullet"/>
      <w:lvlText w:val="•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2CE90">
      <w:start w:val="1"/>
      <w:numFmt w:val="bullet"/>
      <w:lvlText w:val="o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A1758">
      <w:start w:val="1"/>
      <w:numFmt w:val="bullet"/>
      <w:lvlText w:val="▪"/>
      <w:lvlJc w:val="left"/>
      <w:pPr>
        <w:ind w:left="6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5C30C6"/>
    <w:multiLevelType w:val="hybridMultilevel"/>
    <w:tmpl w:val="C02279E2"/>
    <w:lvl w:ilvl="0" w:tplc="638691E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49F9C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C9BCE">
      <w:start w:val="1"/>
      <w:numFmt w:val="bullet"/>
      <w:lvlText w:val="▪"/>
      <w:lvlJc w:val="left"/>
      <w:pPr>
        <w:ind w:left="19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95A0">
      <w:start w:val="1"/>
      <w:numFmt w:val="bullet"/>
      <w:lvlText w:val="•"/>
      <w:lvlJc w:val="left"/>
      <w:pPr>
        <w:ind w:left="26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F936">
      <w:start w:val="1"/>
      <w:numFmt w:val="bullet"/>
      <w:lvlText w:val="o"/>
      <w:lvlJc w:val="left"/>
      <w:pPr>
        <w:ind w:left="33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00B26">
      <w:start w:val="1"/>
      <w:numFmt w:val="bullet"/>
      <w:lvlText w:val="▪"/>
      <w:lvlJc w:val="left"/>
      <w:pPr>
        <w:ind w:left="41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CE89E">
      <w:start w:val="1"/>
      <w:numFmt w:val="bullet"/>
      <w:lvlText w:val="•"/>
      <w:lvlJc w:val="left"/>
      <w:pPr>
        <w:ind w:left="48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C6574">
      <w:start w:val="1"/>
      <w:numFmt w:val="bullet"/>
      <w:lvlText w:val="o"/>
      <w:lvlJc w:val="left"/>
      <w:pPr>
        <w:ind w:left="55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2EF28">
      <w:start w:val="1"/>
      <w:numFmt w:val="bullet"/>
      <w:lvlText w:val="▪"/>
      <w:lvlJc w:val="left"/>
      <w:pPr>
        <w:ind w:left="62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8"/>
    <w:rsid w:val="001148A7"/>
    <w:rsid w:val="00205728"/>
    <w:rsid w:val="007045AA"/>
    <w:rsid w:val="009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EB846-925B-4816-A928-A5061E76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37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 Introduction to QFocus Design.doc</vt:lpstr>
    </vt:vector>
  </TitlesOfParts>
  <Company>Kentucky Department of Education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 Introduction to QFocus Design.doc</dc:title>
  <dc:subject/>
  <dc:creator>Luz Santana</dc:creator>
  <cp:keywords/>
  <cp:lastModifiedBy>Sergent, Kimberly - Division of Student Success</cp:lastModifiedBy>
  <cp:revision>4</cp:revision>
  <cp:lastPrinted>2015-11-11T20:36:00Z</cp:lastPrinted>
  <dcterms:created xsi:type="dcterms:W3CDTF">2015-09-01T01:30:00Z</dcterms:created>
  <dcterms:modified xsi:type="dcterms:W3CDTF">2015-11-11T20:36:00Z</dcterms:modified>
</cp:coreProperties>
</file>