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5792" w:rsidRPr="00C36451" w:rsidRDefault="00F65792" w:rsidP="00F65792">
      <w:pPr>
        <w:spacing w:after="200" w:line="331" w:lineRule="auto"/>
        <w:jc w:val="center"/>
        <w:rPr>
          <w:rFonts w:asciiTheme="minorHAnsi" w:eastAsia="Calibri" w:hAnsiTheme="minorHAnsi"/>
          <w:b/>
          <w:sz w:val="32"/>
          <w:szCs w:val="32"/>
        </w:rPr>
      </w:pPr>
      <w:r w:rsidRPr="00C36451">
        <w:rPr>
          <w:rFonts w:asciiTheme="minorHAnsi" w:eastAsia="Calibri" w:hAnsiTheme="minorHAnsi"/>
          <w:b/>
          <w:sz w:val="32"/>
          <w:szCs w:val="32"/>
        </w:rPr>
        <w:t>Sample “Consideration for Curriculum Development” Document</w:t>
      </w:r>
    </w:p>
    <w:p w:rsidR="00F13161" w:rsidRPr="00C36451" w:rsidRDefault="00C814A2">
      <w:pPr>
        <w:spacing w:after="200" w:line="331" w:lineRule="auto"/>
        <w:rPr>
          <w:rFonts w:asciiTheme="minorHAnsi" w:hAnsiTheme="minorHAnsi"/>
        </w:rPr>
      </w:pPr>
      <w:r w:rsidRPr="00C36451">
        <w:rPr>
          <w:rFonts w:asciiTheme="minorHAnsi" w:eastAsia="Calibri" w:hAnsiTheme="minorHAnsi"/>
          <w:b/>
          <w:sz w:val="28"/>
        </w:rPr>
        <w:t>Grade 1: How?</w:t>
      </w:r>
    </w:p>
    <w:tbl>
      <w:tblPr>
        <w:tblStyle w:val="a"/>
        <w:tblW w:w="9360" w:type="dxa"/>
        <w:tblLayout w:type="fixed"/>
        <w:tblLook w:val="0600" w:firstRow="0" w:lastRow="0" w:firstColumn="0" w:lastColumn="0" w:noHBand="1" w:noVBand="1"/>
      </w:tblPr>
      <w:tblGrid>
        <w:gridCol w:w="9360"/>
      </w:tblGrid>
      <w:tr w:rsidR="00F13161" w:rsidRPr="00C36451">
        <w:tc>
          <w:tcPr>
            <w:tcW w:w="93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CA28A8" w:rsidRPr="00C36451" w:rsidRDefault="00CA28A8" w:rsidP="00CA28A8">
            <w:pPr>
              <w:spacing w:line="240" w:lineRule="auto"/>
              <w:contextualSpacing/>
              <w:rPr>
                <w:rFonts w:asciiTheme="minorHAnsi" w:hAnsiTheme="minorHAnsi"/>
                <w:b/>
                <w:sz w:val="24"/>
                <w:highlight w:val="white"/>
              </w:rPr>
            </w:pPr>
          </w:p>
          <w:p w:rsidR="00F13161" w:rsidRPr="00C36451" w:rsidRDefault="00C814A2" w:rsidP="00CA28A8">
            <w:pPr>
              <w:spacing w:line="240" w:lineRule="auto"/>
              <w:contextualSpacing/>
              <w:rPr>
                <w:rFonts w:asciiTheme="minorHAnsi" w:hAnsiTheme="minorHAnsi"/>
              </w:rPr>
            </w:pPr>
            <w:r w:rsidRPr="00C36451">
              <w:rPr>
                <w:rFonts w:asciiTheme="minorHAnsi" w:hAnsiTheme="minorHAnsi"/>
                <w:b/>
                <w:sz w:val="24"/>
                <w:highlight w:val="white"/>
              </w:rPr>
              <w:t>Grade Level Introduction:</w:t>
            </w:r>
          </w:p>
          <w:p w:rsidR="00F13161" w:rsidRPr="00C36451" w:rsidRDefault="00C814A2" w:rsidP="00CA28A8">
            <w:pPr>
              <w:spacing w:line="240" w:lineRule="auto"/>
              <w:contextualSpacing/>
              <w:rPr>
                <w:rFonts w:asciiTheme="minorHAnsi" w:hAnsiTheme="minorHAnsi"/>
                <w:b/>
                <w:sz w:val="24"/>
              </w:rPr>
            </w:pPr>
            <w:r w:rsidRPr="00C36451">
              <w:rPr>
                <w:rFonts w:asciiTheme="minorHAnsi" w:hAnsiTheme="minorHAnsi"/>
                <w:sz w:val="24"/>
                <w:highlight w:val="white"/>
              </w:rPr>
              <w:t>In first grade, students will be challenged to see relationships between cultures and the environment.  The year of investigation will lead to the development of HOW these concepts affect their world and empower them to become contributors to the solutions.  The following conceptual understandings will be a part of their first grade year:  rules, equity of decision making in their community (or other various settings), supply and dem</w:t>
            </w:r>
            <w:r w:rsidR="00CA28A8" w:rsidRPr="00C36451">
              <w:rPr>
                <w:rFonts w:asciiTheme="minorHAnsi" w:hAnsiTheme="minorHAnsi"/>
                <w:sz w:val="24"/>
                <w:highlight w:val="white"/>
              </w:rPr>
              <w:t>and, economic impact on culture</w:t>
            </w:r>
            <w:r w:rsidRPr="00C36451">
              <w:rPr>
                <w:rFonts w:asciiTheme="minorHAnsi" w:hAnsiTheme="minorHAnsi"/>
                <w:sz w:val="24"/>
                <w:highlight w:val="white"/>
              </w:rPr>
              <w:t xml:space="preserve"> and develop historical-thinking skills.  </w:t>
            </w:r>
            <w:r w:rsidRPr="00C36451">
              <w:rPr>
                <w:rFonts w:asciiTheme="minorHAnsi" w:hAnsiTheme="minorHAnsi"/>
                <w:b/>
                <w:sz w:val="24"/>
                <w:highlight w:val="white"/>
              </w:rPr>
              <w:t xml:space="preserve"> </w:t>
            </w:r>
          </w:p>
          <w:p w:rsidR="00CA28A8" w:rsidRPr="00C36451" w:rsidRDefault="00CA28A8" w:rsidP="00CA28A8">
            <w:pPr>
              <w:spacing w:line="240" w:lineRule="auto"/>
              <w:contextualSpacing/>
              <w:rPr>
                <w:rFonts w:asciiTheme="minorHAnsi" w:hAnsiTheme="minorHAnsi"/>
              </w:rPr>
            </w:pPr>
          </w:p>
          <w:p w:rsidR="00F13161" w:rsidRPr="00C36451" w:rsidRDefault="001160D6" w:rsidP="00CA28A8">
            <w:pPr>
              <w:spacing w:line="240" w:lineRule="auto"/>
              <w:contextualSpacing/>
              <w:rPr>
                <w:rFonts w:asciiTheme="minorHAnsi" w:hAnsiTheme="minorHAnsi"/>
              </w:rPr>
            </w:pPr>
            <w:r w:rsidRPr="00C36451">
              <w:rPr>
                <w:rFonts w:asciiTheme="minorHAnsi" w:hAnsiTheme="minorHAnsi"/>
                <w:b/>
                <w:sz w:val="24"/>
                <w:highlight w:val="white"/>
              </w:rPr>
              <w:t xml:space="preserve">Assumptions </w:t>
            </w:r>
            <w:r w:rsidR="00C814A2" w:rsidRPr="00C36451">
              <w:rPr>
                <w:rFonts w:asciiTheme="minorHAnsi" w:hAnsiTheme="minorHAnsi"/>
                <w:b/>
                <w:sz w:val="24"/>
                <w:highlight w:val="white"/>
              </w:rPr>
              <w:t>and Goals of Curriculum Development:</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Students will begin to understand the purpose of roles in a community.</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Students will begin to understand the equity of decision making in their community.</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Students will have ample opportunities to engage in all Practices of the Inquiry Cycle.</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Students will gain a strong foundation of skills and knowledge which will be built upon in later years.</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Students will equally explore all of the Disciplinary Core Concepts through multiple perspectives and viewpoints.</w:t>
            </w:r>
          </w:p>
          <w:p w:rsidR="00F13161" w:rsidRPr="00C36451" w:rsidRDefault="00C814A2" w:rsidP="00CA28A8">
            <w:pPr>
              <w:pStyle w:val="ListParagraph"/>
              <w:numPr>
                <w:ilvl w:val="0"/>
                <w:numId w:val="37"/>
              </w:numPr>
              <w:spacing w:line="240" w:lineRule="auto"/>
              <w:rPr>
                <w:rFonts w:asciiTheme="minorHAnsi" w:hAnsiTheme="minorHAnsi"/>
                <w:sz w:val="24"/>
                <w:highlight w:val="white"/>
              </w:rPr>
            </w:pPr>
            <w:r w:rsidRPr="00C36451">
              <w:rPr>
                <w:rFonts w:asciiTheme="minorHAnsi" w:hAnsiTheme="minorHAnsi"/>
                <w:sz w:val="24"/>
                <w:highlight w:val="white"/>
              </w:rPr>
              <w:t xml:space="preserve">Students will be prepared to understand the decisions about the roles in the community and moving toward the cause and effect relationship of their participation in second grade.  </w:t>
            </w:r>
          </w:p>
          <w:p w:rsidR="00F13161" w:rsidRPr="00C36451" w:rsidRDefault="00F13161" w:rsidP="00CA28A8">
            <w:pPr>
              <w:spacing w:line="240" w:lineRule="auto"/>
              <w:contextualSpacing/>
              <w:rPr>
                <w:rFonts w:asciiTheme="minorHAnsi" w:hAnsiTheme="minorHAnsi"/>
              </w:rPr>
            </w:pPr>
          </w:p>
          <w:p w:rsidR="00F13161" w:rsidRPr="00C36451" w:rsidRDefault="001160D6" w:rsidP="00CA28A8">
            <w:pPr>
              <w:spacing w:line="240" w:lineRule="auto"/>
              <w:contextualSpacing/>
              <w:rPr>
                <w:rFonts w:asciiTheme="minorHAnsi" w:hAnsiTheme="minorHAnsi"/>
              </w:rPr>
            </w:pPr>
            <w:r w:rsidRPr="00C36451">
              <w:rPr>
                <w:rFonts w:asciiTheme="minorHAnsi" w:eastAsia="Calibri" w:hAnsiTheme="minorHAnsi"/>
                <w:b/>
                <w:sz w:val="24"/>
                <w:highlight w:val="white"/>
              </w:rPr>
              <w:t>Sampling of Primary Resource</w:t>
            </w:r>
            <w:r w:rsidR="00C814A2" w:rsidRPr="00C36451">
              <w:rPr>
                <w:rFonts w:asciiTheme="minorHAnsi" w:eastAsia="Calibri" w:hAnsiTheme="minorHAnsi"/>
                <w:b/>
                <w:sz w:val="24"/>
                <w:highlight w:val="white"/>
              </w:rPr>
              <w:t xml:space="preserve"> Documents:</w:t>
            </w:r>
          </w:p>
          <w:p w:rsidR="00F13161" w:rsidRPr="00C36451" w:rsidRDefault="00C814A2" w:rsidP="00CA28A8">
            <w:pPr>
              <w:pStyle w:val="ListParagraph"/>
              <w:numPr>
                <w:ilvl w:val="0"/>
                <w:numId w:val="38"/>
              </w:numPr>
              <w:spacing w:line="240" w:lineRule="auto"/>
              <w:rPr>
                <w:rFonts w:asciiTheme="minorHAnsi" w:hAnsiTheme="minorHAnsi"/>
              </w:rPr>
            </w:pPr>
            <w:r w:rsidRPr="00C36451">
              <w:rPr>
                <w:rFonts w:asciiTheme="minorHAnsi" w:eastAsia="Calibri" w:hAnsiTheme="minorHAnsi"/>
                <w:sz w:val="24"/>
                <w:highlight w:val="white"/>
              </w:rPr>
              <w:t>Example A</w:t>
            </w:r>
          </w:p>
          <w:p w:rsidR="00F13161" w:rsidRPr="00C36451" w:rsidRDefault="00C814A2" w:rsidP="00CA28A8">
            <w:pPr>
              <w:pStyle w:val="ListParagraph"/>
              <w:numPr>
                <w:ilvl w:val="0"/>
                <w:numId w:val="38"/>
              </w:numPr>
              <w:spacing w:line="240" w:lineRule="auto"/>
              <w:rPr>
                <w:rFonts w:asciiTheme="minorHAnsi" w:hAnsiTheme="minorHAnsi"/>
              </w:rPr>
            </w:pPr>
            <w:r w:rsidRPr="00C36451">
              <w:rPr>
                <w:rFonts w:asciiTheme="minorHAnsi" w:eastAsia="Calibri" w:hAnsiTheme="minorHAnsi"/>
                <w:sz w:val="24"/>
                <w:highlight w:val="white"/>
              </w:rPr>
              <w:t>Example B</w:t>
            </w:r>
          </w:p>
          <w:p w:rsidR="00F13161" w:rsidRPr="00C36451" w:rsidRDefault="00C814A2" w:rsidP="00CA28A8">
            <w:pPr>
              <w:pStyle w:val="ListParagraph"/>
              <w:numPr>
                <w:ilvl w:val="0"/>
                <w:numId w:val="38"/>
              </w:numPr>
              <w:spacing w:line="240" w:lineRule="auto"/>
              <w:rPr>
                <w:rFonts w:asciiTheme="minorHAnsi" w:eastAsia="Calibri" w:hAnsiTheme="minorHAnsi"/>
                <w:b/>
                <w:sz w:val="24"/>
              </w:rPr>
            </w:pPr>
            <w:r w:rsidRPr="00C36451">
              <w:rPr>
                <w:rFonts w:asciiTheme="minorHAnsi" w:eastAsia="Calibri" w:hAnsiTheme="minorHAnsi"/>
                <w:sz w:val="24"/>
                <w:highlight w:val="white"/>
              </w:rPr>
              <w:t>Example C</w:t>
            </w:r>
            <w:r w:rsidRPr="00C36451">
              <w:rPr>
                <w:rFonts w:asciiTheme="minorHAnsi" w:eastAsia="Calibri" w:hAnsiTheme="minorHAnsi"/>
                <w:b/>
                <w:sz w:val="24"/>
                <w:highlight w:val="white"/>
              </w:rPr>
              <w:t xml:space="preserve">   </w:t>
            </w:r>
            <w:r w:rsidRPr="00C36451">
              <w:rPr>
                <w:rFonts w:asciiTheme="minorHAnsi" w:eastAsia="Calibri" w:hAnsiTheme="minorHAnsi"/>
                <w:b/>
                <w:sz w:val="24"/>
                <w:highlight w:val="white"/>
              </w:rPr>
              <w:tab/>
            </w:r>
          </w:p>
          <w:p w:rsidR="00803533" w:rsidRPr="00C36451" w:rsidRDefault="00803533">
            <w:pPr>
              <w:spacing w:line="331" w:lineRule="auto"/>
              <w:rPr>
                <w:rFonts w:asciiTheme="minorHAnsi" w:hAnsiTheme="minorHAnsi"/>
              </w:rPr>
            </w:pPr>
          </w:p>
        </w:tc>
      </w:tr>
    </w:tbl>
    <w:tbl>
      <w:tblPr>
        <w:tblStyle w:val="a0"/>
        <w:tblW w:w="9360" w:type="dxa"/>
        <w:tblLayout w:type="fixed"/>
        <w:tblLook w:val="0600" w:firstRow="0" w:lastRow="0" w:firstColumn="0" w:lastColumn="0" w:noHBand="1" w:noVBand="1"/>
      </w:tblPr>
      <w:tblGrid>
        <w:gridCol w:w="4680"/>
        <w:gridCol w:w="4680"/>
      </w:tblGrid>
      <w:tr w:rsidR="00F13161" w:rsidRPr="00C36451">
        <w:tc>
          <w:tcPr>
            <w:tcW w:w="9360" w:type="dxa"/>
            <w:gridSpan w:val="2"/>
            <w:tcBorders>
              <w:top w:val="single" w:sz="6" w:space="0" w:color="000000"/>
              <w:left w:val="single" w:sz="6" w:space="0" w:color="000000"/>
              <w:bottom w:val="single" w:sz="6" w:space="0" w:color="000000"/>
              <w:right w:val="single" w:sz="6" w:space="0" w:color="000000"/>
            </w:tcBorders>
            <w:shd w:val="clear" w:color="auto" w:fill="CCC0D9"/>
            <w:tcMar>
              <w:top w:w="100" w:type="dxa"/>
              <w:left w:w="100" w:type="dxa"/>
              <w:bottom w:w="100" w:type="dxa"/>
              <w:right w:w="100" w:type="dxa"/>
            </w:tcMar>
          </w:tcPr>
          <w:p w:rsidR="00CA28A8" w:rsidRPr="00C36451" w:rsidRDefault="00CA28A8" w:rsidP="00CA28A8">
            <w:pPr>
              <w:spacing w:line="240" w:lineRule="auto"/>
              <w:contextualSpacing/>
              <w:rPr>
                <w:rFonts w:asciiTheme="minorHAnsi" w:eastAsia="Calibri" w:hAnsiTheme="minorHAnsi" w:cs="Calibri"/>
                <w:b/>
                <w:sz w:val="24"/>
                <w:shd w:val="clear" w:color="auto" w:fill="CCC0D9"/>
              </w:rPr>
            </w:pPr>
          </w:p>
          <w:p w:rsidR="00F13161" w:rsidRPr="00C36451" w:rsidRDefault="00C814A2" w:rsidP="00CA28A8">
            <w:pPr>
              <w:spacing w:line="240" w:lineRule="auto"/>
              <w:contextualSpacing/>
              <w:rPr>
                <w:rFonts w:asciiTheme="minorHAnsi" w:eastAsia="Calibri" w:hAnsiTheme="minorHAnsi" w:cs="Calibri"/>
                <w:i/>
                <w:sz w:val="24"/>
                <w:shd w:val="clear" w:color="auto" w:fill="CCC0D9"/>
              </w:rPr>
            </w:pPr>
            <w:proofErr w:type="gramStart"/>
            <w:r w:rsidRPr="00C36451">
              <w:rPr>
                <w:rFonts w:asciiTheme="minorHAnsi" w:eastAsia="Calibri" w:hAnsiTheme="minorHAnsi" w:cs="Calibri"/>
                <w:b/>
                <w:sz w:val="24"/>
                <w:shd w:val="clear" w:color="auto" w:fill="CCC0D9"/>
              </w:rPr>
              <w:t>1.HT.14</w:t>
            </w:r>
            <w:proofErr w:type="gramEnd"/>
            <w:r w:rsidRPr="00C36451">
              <w:rPr>
                <w:rFonts w:asciiTheme="minorHAnsi" w:eastAsia="Calibri" w:hAnsiTheme="minorHAnsi" w:cs="Calibri"/>
                <w:b/>
                <w:sz w:val="24"/>
                <w:shd w:val="clear" w:color="auto" w:fill="CCC0D9"/>
              </w:rPr>
              <w:t xml:space="preserve"> </w:t>
            </w:r>
            <w:r w:rsidRPr="00C36451">
              <w:rPr>
                <w:rFonts w:asciiTheme="minorHAnsi" w:eastAsia="Calibri" w:hAnsiTheme="minorHAnsi" w:cs="Calibri"/>
                <w:b/>
                <w:color w:val="0000FF"/>
                <w:sz w:val="24"/>
                <w:shd w:val="clear" w:color="auto" w:fill="CCC0D9"/>
              </w:rPr>
              <w:t>Historical Arguments</w:t>
            </w:r>
            <w:r w:rsidR="001160D6" w:rsidRPr="00C36451">
              <w:rPr>
                <w:rFonts w:asciiTheme="minorHAnsi" w:eastAsia="Calibri" w:hAnsiTheme="minorHAnsi" w:cs="Calibri"/>
                <w:b/>
                <w:color w:val="0000FF"/>
                <w:sz w:val="24"/>
                <w:shd w:val="clear" w:color="auto" w:fill="CCC0D9"/>
              </w:rPr>
              <w:t xml:space="preserve">  </w:t>
            </w:r>
            <w:r w:rsidRPr="00C36451">
              <w:rPr>
                <w:rFonts w:asciiTheme="minorHAnsi" w:eastAsia="Calibri" w:hAnsiTheme="minorHAnsi" w:cs="Calibri"/>
                <w:i/>
                <w:sz w:val="24"/>
                <w:shd w:val="clear" w:color="auto" w:fill="CCC0D9"/>
              </w:rPr>
              <w:t>Summarize possible reasons for his</w:t>
            </w:r>
            <w:r w:rsidR="00B86A88">
              <w:rPr>
                <w:rFonts w:asciiTheme="minorHAnsi" w:eastAsia="Calibri" w:hAnsiTheme="minorHAnsi" w:cs="Calibri"/>
                <w:i/>
                <w:sz w:val="24"/>
                <w:shd w:val="clear" w:color="auto" w:fill="CCC0D9"/>
              </w:rPr>
              <w:t>torical developments and events.</w:t>
            </w:r>
            <w:bookmarkStart w:id="0" w:name="_GoBack"/>
            <w:bookmarkEnd w:id="0"/>
          </w:p>
          <w:p w:rsidR="00CA28A8" w:rsidRPr="00C36451" w:rsidRDefault="00CA28A8" w:rsidP="00CA28A8">
            <w:pPr>
              <w:spacing w:line="240" w:lineRule="auto"/>
              <w:contextualSpacing/>
              <w:rPr>
                <w:rFonts w:asciiTheme="minorHAnsi" w:hAnsiTheme="minorHAnsi"/>
              </w:rPr>
            </w:pPr>
          </w:p>
        </w:tc>
      </w:tr>
      <w:tr w:rsidR="00F13161" w:rsidRPr="00C36451">
        <w:tc>
          <w:tcPr>
            <w:tcW w:w="9360" w:type="dxa"/>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13161" w:rsidRPr="00C36451" w:rsidRDefault="00266041">
            <w:pPr>
              <w:spacing w:line="331" w:lineRule="auto"/>
              <w:rPr>
                <w:rFonts w:asciiTheme="minorHAnsi" w:eastAsia="Calibri" w:hAnsiTheme="minorHAnsi" w:cs="Calibri"/>
                <w:b/>
                <w:sz w:val="24"/>
                <w:szCs w:val="24"/>
              </w:rPr>
            </w:pPr>
            <w:r w:rsidRPr="00C36451">
              <w:rPr>
                <w:rFonts w:asciiTheme="minorHAnsi" w:eastAsia="Calibri" w:hAnsiTheme="minorHAnsi" w:cs="Calibri"/>
                <w:b/>
                <w:sz w:val="24"/>
                <w:szCs w:val="24"/>
              </w:rPr>
              <w:t>Key Idea:</w:t>
            </w:r>
          </w:p>
          <w:p w:rsidR="00803533" w:rsidRPr="00C36451" w:rsidRDefault="00803533">
            <w:pPr>
              <w:spacing w:line="331" w:lineRule="auto"/>
              <w:rPr>
                <w:rFonts w:asciiTheme="minorHAnsi" w:eastAsia="Calibri" w:hAnsiTheme="minorHAnsi" w:cs="Calibri"/>
                <w:b/>
              </w:rPr>
            </w:pPr>
          </w:p>
          <w:p w:rsidR="00CA28A8" w:rsidRPr="00C36451" w:rsidRDefault="00CA28A8">
            <w:pPr>
              <w:spacing w:line="331" w:lineRule="auto"/>
              <w:rPr>
                <w:rFonts w:asciiTheme="minorHAnsi" w:eastAsia="Calibri" w:hAnsiTheme="minorHAnsi" w:cs="Calibri"/>
                <w:b/>
              </w:rPr>
            </w:pPr>
          </w:p>
          <w:p w:rsidR="00803533" w:rsidRPr="00C36451" w:rsidRDefault="00803533">
            <w:pPr>
              <w:spacing w:line="331" w:lineRule="auto"/>
              <w:rPr>
                <w:rFonts w:asciiTheme="minorHAnsi" w:hAnsiTheme="minorHAnsi"/>
              </w:rPr>
            </w:pPr>
          </w:p>
        </w:tc>
      </w:tr>
      <w:tr w:rsidR="00F13161" w:rsidRPr="00C36451" w:rsidTr="00CD2675">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13161" w:rsidRPr="00C36451" w:rsidRDefault="00C814A2" w:rsidP="00CD2675">
            <w:pPr>
              <w:spacing w:line="240" w:lineRule="auto"/>
              <w:contextualSpacing/>
              <w:rPr>
                <w:rFonts w:asciiTheme="minorHAnsi" w:eastAsia="Calibri" w:hAnsiTheme="minorHAnsi"/>
                <w:b/>
              </w:rPr>
            </w:pPr>
            <w:r w:rsidRPr="00C36451">
              <w:rPr>
                <w:rFonts w:asciiTheme="minorHAnsi" w:eastAsia="Calibri" w:hAnsiTheme="minorHAnsi"/>
                <w:b/>
              </w:rPr>
              <w:lastRenderedPageBreak/>
              <w:t>Students who demonstrate understanding, can address the following Compelling Questions:</w:t>
            </w: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5E1781" w:rsidRPr="00C36451" w:rsidRDefault="005E1781" w:rsidP="00CD2675">
            <w:pPr>
              <w:spacing w:line="240" w:lineRule="auto"/>
              <w:contextualSpacing/>
              <w:rPr>
                <w:rFonts w:asciiTheme="minorHAnsi" w:eastAsia="Calibri" w:hAnsiTheme="minorHAnsi"/>
                <w:b/>
              </w:rPr>
            </w:pPr>
          </w:p>
          <w:p w:rsidR="00266041" w:rsidRPr="00C36451" w:rsidRDefault="0026604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5E1781" w:rsidRPr="00C36451" w:rsidRDefault="005E1781" w:rsidP="00CD2675">
            <w:pPr>
              <w:spacing w:line="240" w:lineRule="auto"/>
              <w:contextualSpacing/>
              <w:rPr>
                <w:rFonts w:asciiTheme="minorHAnsi" w:hAnsiTheme="minorHAnsi"/>
                <w:b/>
              </w:rPr>
            </w:pPr>
          </w:p>
          <w:p w:rsidR="00CD2675" w:rsidRPr="00C36451" w:rsidRDefault="00CD2675" w:rsidP="00CD2675">
            <w:pPr>
              <w:spacing w:line="240" w:lineRule="auto"/>
              <w:contextualSpacing/>
              <w:rPr>
                <w:rFonts w:asciiTheme="minorHAnsi" w:hAnsiTheme="minorHAnsi"/>
                <w:b/>
              </w:rPr>
            </w:pPr>
          </w:p>
          <w:p w:rsidR="00CD2675" w:rsidRPr="00C36451" w:rsidRDefault="00CD2675" w:rsidP="00CD2675">
            <w:pPr>
              <w:spacing w:line="240" w:lineRule="auto"/>
              <w:contextualSpacing/>
              <w:rPr>
                <w:rFonts w:asciiTheme="minorHAnsi" w:hAnsiTheme="minorHAnsi"/>
                <w:b/>
              </w:rPr>
            </w:pPr>
          </w:p>
          <w:p w:rsidR="00803533" w:rsidRPr="00C36451" w:rsidRDefault="00803533" w:rsidP="00CD2675">
            <w:pPr>
              <w:spacing w:line="240" w:lineRule="auto"/>
              <w:contextualSpacing/>
              <w:rPr>
                <w:rFonts w:asciiTheme="minorHAnsi" w:hAnsiTheme="minorHAnsi"/>
                <w:b/>
              </w:rPr>
            </w:pPr>
          </w:p>
          <w:p w:rsidR="00F13161" w:rsidRPr="00C36451" w:rsidRDefault="00F13161" w:rsidP="00CD2675">
            <w:pPr>
              <w:spacing w:line="240" w:lineRule="auto"/>
              <w:ind w:left="720"/>
              <w:contextualSpacing/>
              <w:rPr>
                <w:rFonts w:asciiTheme="minorHAnsi" w:eastAsia="Calibri" w:hAnsiTheme="minorHAnsi"/>
                <w:b/>
              </w:rPr>
            </w:pPr>
          </w:p>
        </w:tc>
        <w:tc>
          <w:tcPr>
            <w:tcW w:w="46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13161" w:rsidRPr="00C36451" w:rsidRDefault="00C814A2" w:rsidP="00CD2675">
            <w:pPr>
              <w:spacing w:line="240" w:lineRule="auto"/>
              <w:contextualSpacing/>
              <w:rPr>
                <w:rFonts w:asciiTheme="minorHAnsi" w:hAnsiTheme="minorHAnsi"/>
                <w:b/>
              </w:rPr>
            </w:pPr>
            <w:r w:rsidRPr="00C36451">
              <w:rPr>
                <w:rFonts w:asciiTheme="minorHAnsi" w:eastAsia="Calibri" w:hAnsiTheme="minorHAnsi"/>
                <w:b/>
              </w:rPr>
              <w:t>Students who demonstrate understanding, can address the following</w:t>
            </w:r>
            <w:r w:rsidR="00803533" w:rsidRPr="00C36451">
              <w:rPr>
                <w:rFonts w:asciiTheme="minorHAnsi" w:eastAsia="Calibri" w:hAnsiTheme="minorHAnsi"/>
                <w:b/>
              </w:rPr>
              <w:t xml:space="preserve"> </w:t>
            </w:r>
            <w:r w:rsidRPr="00C36451">
              <w:rPr>
                <w:rFonts w:asciiTheme="minorHAnsi" w:eastAsia="Calibri" w:hAnsiTheme="minorHAnsi"/>
                <w:b/>
              </w:rPr>
              <w:t>Supporting Questions:</w:t>
            </w:r>
          </w:p>
          <w:p w:rsidR="00F13161" w:rsidRPr="00C36451" w:rsidRDefault="00F13161" w:rsidP="00CD2675">
            <w:pPr>
              <w:spacing w:line="240" w:lineRule="auto"/>
              <w:ind w:left="720"/>
              <w:contextualSpacing/>
              <w:rPr>
                <w:rFonts w:asciiTheme="minorHAnsi" w:eastAsia="Calibri" w:hAnsiTheme="minorHAnsi"/>
                <w:b/>
              </w:rPr>
            </w:pPr>
          </w:p>
          <w:p w:rsidR="00803533" w:rsidRPr="00C36451" w:rsidRDefault="00803533" w:rsidP="00CD2675">
            <w:pPr>
              <w:spacing w:line="240" w:lineRule="auto"/>
              <w:ind w:left="720"/>
              <w:contextualSpacing/>
              <w:rPr>
                <w:rFonts w:asciiTheme="minorHAnsi" w:eastAsia="Calibri" w:hAnsiTheme="minorHAnsi"/>
                <w:b/>
              </w:rPr>
            </w:pPr>
          </w:p>
          <w:p w:rsidR="00803533" w:rsidRPr="00C36451" w:rsidRDefault="00803533" w:rsidP="00CD2675">
            <w:pPr>
              <w:spacing w:line="240" w:lineRule="auto"/>
              <w:ind w:left="720"/>
              <w:contextualSpacing/>
              <w:rPr>
                <w:rFonts w:asciiTheme="minorHAnsi" w:eastAsia="Calibri" w:hAnsiTheme="minorHAnsi"/>
                <w:b/>
              </w:rPr>
            </w:pPr>
          </w:p>
        </w:tc>
      </w:tr>
      <w:tr w:rsidR="00F13161" w:rsidRPr="00C36451">
        <w:tc>
          <w:tcPr>
            <w:tcW w:w="93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85FB2" w:rsidRPr="00285FB2" w:rsidRDefault="00285FB2" w:rsidP="00285FB2">
            <w:pPr>
              <w:spacing w:line="240" w:lineRule="auto"/>
              <w:contextualSpacing/>
              <w:rPr>
                <w:rFonts w:asciiTheme="minorHAnsi" w:eastAsia="Calibri" w:hAnsiTheme="minorHAnsi" w:cs="Calibri"/>
                <w:b/>
                <w:sz w:val="24"/>
                <w:szCs w:val="24"/>
              </w:rPr>
            </w:pPr>
            <w:r w:rsidRPr="00285FB2">
              <w:rPr>
                <w:rFonts w:asciiTheme="minorHAnsi" w:eastAsia="Calibri" w:hAnsiTheme="minorHAnsi" w:cs="Calibri"/>
                <w:b/>
                <w:sz w:val="24"/>
                <w:szCs w:val="24"/>
              </w:rPr>
              <w:t xml:space="preserve">Sample Concepts:  </w:t>
            </w:r>
          </w:p>
          <w:p w:rsidR="005E1781" w:rsidRPr="00B83978" w:rsidRDefault="00285FB2" w:rsidP="00B83978">
            <w:pPr>
              <w:pStyle w:val="ListParagraph"/>
              <w:numPr>
                <w:ilvl w:val="0"/>
                <w:numId w:val="39"/>
              </w:numPr>
              <w:spacing w:line="331" w:lineRule="auto"/>
              <w:rPr>
                <w:rFonts w:asciiTheme="minorHAnsi" w:hAnsiTheme="minorHAnsi"/>
                <w:sz w:val="24"/>
                <w:szCs w:val="24"/>
              </w:rPr>
            </w:pPr>
            <w:r w:rsidRPr="00B83978">
              <w:rPr>
                <w:rFonts w:asciiTheme="minorHAnsi" w:hAnsiTheme="minorHAnsi"/>
                <w:color w:val="auto"/>
                <w:sz w:val="24"/>
                <w:szCs w:val="24"/>
              </w:rPr>
              <w:t xml:space="preserve">May include, but are not limited to the following: </w:t>
            </w:r>
          </w:p>
          <w:p w:rsidR="005E1781" w:rsidRPr="00C36451" w:rsidRDefault="005E1781">
            <w:pPr>
              <w:spacing w:line="331" w:lineRule="auto"/>
              <w:rPr>
                <w:rFonts w:asciiTheme="minorHAnsi" w:hAnsiTheme="minorHAnsi"/>
              </w:rPr>
            </w:pPr>
          </w:p>
          <w:p w:rsidR="005E1781" w:rsidRDefault="005E1781">
            <w:pPr>
              <w:spacing w:line="331" w:lineRule="auto"/>
              <w:rPr>
                <w:rFonts w:asciiTheme="minorHAnsi" w:hAnsiTheme="minorHAnsi"/>
              </w:rPr>
            </w:pPr>
          </w:p>
          <w:p w:rsidR="008C3E02" w:rsidRPr="00C36451" w:rsidRDefault="008C3E02">
            <w:pPr>
              <w:spacing w:line="331" w:lineRule="auto"/>
              <w:rPr>
                <w:rFonts w:asciiTheme="minorHAnsi" w:hAnsiTheme="minorHAnsi"/>
              </w:rPr>
            </w:pPr>
          </w:p>
          <w:p w:rsidR="00B83978" w:rsidRPr="00C36451" w:rsidRDefault="00B83978">
            <w:pPr>
              <w:spacing w:line="331" w:lineRule="auto"/>
              <w:rPr>
                <w:rFonts w:asciiTheme="minorHAnsi" w:hAnsiTheme="minorHAnsi"/>
              </w:rPr>
            </w:pPr>
          </w:p>
        </w:tc>
      </w:tr>
      <w:tr w:rsidR="00285FB2" w:rsidRPr="00C36451">
        <w:tc>
          <w:tcPr>
            <w:tcW w:w="93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85FB2" w:rsidRDefault="00285FB2" w:rsidP="00285FB2">
            <w:pPr>
              <w:rPr>
                <w:rFonts w:asciiTheme="minorHAnsi" w:hAnsiTheme="minorHAnsi" w:cs="Times New Roman"/>
                <w:b/>
                <w:sz w:val="24"/>
                <w:szCs w:val="24"/>
              </w:rPr>
            </w:pPr>
            <w:r w:rsidRPr="00285FB2">
              <w:rPr>
                <w:rFonts w:asciiTheme="minorHAnsi" w:hAnsiTheme="minorHAnsi" w:cs="Times New Roman"/>
                <w:b/>
                <w:sz w:val="24"/>
                <w:szCs w:val="24"/>
              </w:rPr>
              <w:t xml:space="preserve">Cross-curricular Connections: </w:t>
            </w:r>
          </w:p>
          <w:p w:rsidR="00B83978" w:rsidRPr="00285FB2" w:rsidRDefault="00B83978" w:rsidP="00285FB2">
            <w:pPr>
              <w:rPr>
                <w:rFonts w:asciiTheme="minorHAnsi" w:hAnsiTheme="minorHAnsi" w:cs="Times New Roman"/>
                <w:b/>
                <w:sz w:val="24"/>
                <w:szCs w:val="24"/>
              </w:rPr>
            </w:pPr>
          </w:p>
          <w:p w:rsidR="00285FB2" w:rsidRDefault="00285FB2">
            <w:pPr>
              <w:spacing w:line="331" w:lineRule="auto"/>
              <w:rPr>
                <w:rFonts w:asciiTheme="minorHAnsi" w:eastAsia="Calibri" w:hAnsiTheme="minorHAnsi" w:cs="Calibri"/>
                <w:b/>
                <w:sz w:val="24"/>
                <w:szCs w:val="24"/>
              </w:rPr>
            </w:pPr>
          </w:p>
          <w:p w:rsidR="00BD07F7" w:rsidRDefault="00BD07F7">
            <w:pPr>
              <w:spacing w:line="331" w:lineRule="auto"/>
              <w:rPr>
                <w:rFonts w:asciiTheme="minorHAnsi" w:eastAsia="Calibri" w:hAnsiTheme="minorHAnsi" w:cs="Calibri"/>
                <w:b/>
                <w:sz w:val="24"/>
                <w:szCs w:val="24"/>
              </w:rPr>
            </w:pPr>
          </w:p>
          <w:p w:rsidR="00BD07F7" w:rsidRDefault="00BD07F7">
            <w:pPr>
              <w:spacing w:line="331" w:lineRule="auto"/>
              <w:rPr>
                <w:rFonts w:asciiTheme="minorHAnsi" w:eastAsia="Calibri" w:hAnsiTheme="minorHAnsi" w:cs="Calibri"/>
                <w:b/>
                <w:sz w:val="24"/>
                <w:szCs w:val="24"/>
              </w:rPr>
            </w:pPr>
          </w:p>
          <w:p w:rsidR="008C3E02" w:rsidRDefault="008C3E02">
            <w:pPr>
              <w:spacing w:line="331" w:lineRule="auto"/>
              <w:rPr>
                <w:rFonts w:asciiTheme="minorHAnsi" w:eastAsia="Calibri" w:hAnsiTheme="minorHAnsi" w:cs="Calibri"/>
                <w:b/>
                <w:sz w:val="24"/>
                <w:szCs w:val="24"/>
              </w:rPr>
            </w:pPr>
          </w:p>
          <w:p w:rsidR="00BD07F7" w:rsidRPr="00C36451" w:rsidRDefault="00BD07F7">
            <w:pPr>
              <w:spacing w:line="331" w:lineRule="auto"/>
              <w:rPr>
                <w:rFonts w:asciiTheme="minorHAnsi" w:eastAsia="Calibri" w:hAnsiTheme="minorHAnsi" w:cs="Calibri"/>
                <w:b/>
                <w:sz w:val="24"/>
                <w:szCs w:val="24"/>
              </w:rPr>
            </w:pPr>
          </w:p>
        </w:tc>
      </w:tr>
    </w:tbl>
    <w:p w:rsidR="00F13161" w:rsidRDefault="00F13161"/>
    <w:sectPr w:rsidR="00F131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B4"/>
    <w:multiLevelType w:val="hybridMultilevel"/>
    <w:tmpl w:val="50068654"/>
    <w:lvl w:ilvl="0" w:tplc="C3D8B5BC">
      <w:numFmt w:val="bullet"/>
      <w:lvlText w:val="·"/>
      <w:lvlJc w:val="left"/>
      <w:pPr>
        <w:ind w:left="1405" w:hanging="684"/>
      </w:pPr>
      <w:rPr>
        <w:rFonts w:ascii="Arial" w:eastAsia="Arial" w:hAnsi="Arial" w:cs="Arial" w:hint="default"/>
        <w:sz w:val="24"/>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nsid w:val="06AB6FFA"/>
    <w:multiLevelType w:val="multilevel"/>
    <w:tmpl w:val="5622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F62B05"/>
    <w:multiLevelType w:val="multilevel"/>
    <w:tmpl w:val="559A7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DC46F8"/>
    <w:multiLevelType w:val="multilevel"/>
    <w:tmpl w:val="ABD45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5229A2"/>
    <w:multiLevelType w:val="multilevel"/>
    <w:tmpl w:val="CD04A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9226B1"/>
    <w:multiLevelType w:val="multilevel"/>
    <w:tmpl w:val="381A8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F72B0D"/>
    <w:multiLevelType w:val="multilevel"/>
    <w:tmpl w:val="B2A4B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AB4149"/>
    <w:multiLevelType w:val="multilevel"/>
    <w:tmpl w:val="97949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C35345"/>
    <w:multiLevelType w:val="multilevel"/>
    <w:tmpl w:val="6BB0B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502FBC"/>
    <w:multiLevelType w:val="multilevel"/>
    <w:tmpl w:val="DA688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AE71F01"/>
    <w:multiLevelType w:val="hybridMultilevel"/>
    <w:tmpl w:val="222A13D4"/>
    <w:lvl w:ilvl="0" w:tplc="04090001">
      <w:start w:val="1"/>
      <w:numFmt w:val="bullet"/>
      <w:lvlText w:val=""/>
      <w:lvlJc w:val="left"/>
      <w:pPr>
        <w:ind w:left="1405" w:hanging="684"/>
      </w:pPr>
      <w:rPr>
        <w:rFonts w:ascii="Symbol" w:hAnsi="Symbol" w:hint="default"/>
        <w:sz w:val="24"/>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2DB8166E"/>
    <w:multiLevelType w:val="multilevel"/>
    <w:tmpl w:val="76647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F697B80"/>
    <w:multiLevelType w:val="hybridMultilevel"/>
    <w:tmpl w:val="92DC702C"/>
    <w:lvl w:ilvl="0" w:tplc="C3D8B5BC">
      <w:numFmt w:val="bullet"/>
      <w:lvlText w:val="·"/>
      <w:lvlJc w:val="left"/>
      <w:pPr>
        <w:ind w:left="1044" w:hanging="684"/>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74B8"/>
    <w:multiLevelType w:val="multilevel"/>
    <w:tmpl w:val="0FE29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92E5A01"/>
    <w:multiLevelType w:val="multilevel"/>
    <w:tmpl w:val="42042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95F39BB"/>
    <w:multiLevelType w:val="hybridMultilevel"/>
    <w:tmpl w:val="030C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95208"/>
    <w:multiLevelType w:val="multilevel"/>
    <w:tmpl w:val="74C04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4604E3F"/>
    <w:multiLevelType w:val="multilevel"/>
    <w:tmpl w:val="2146D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587963"/>
    <w:multiLevelType w:val="multilevel"/>
    <w:tmpl w:val="4BFEB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5910D99"/>
    <w:multiLevelType w:val="multilevel"/>
    <w:tmpl w:val="BA446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7106F1D"/>
    <w:multiLevelType w:val="multilevel"/>
    <w:tmpl w:val="F44A4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D027812"/>
    <w:multiLevelType w:val="multilevel"/>
    <w:tmpl w:val="4F04A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D877EE0"/>
    <w:multiLevelType w:val="multilevel"/>
    <w:tmpl w:val="767CD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1DE7783"/>
    <w:multiLevelType w:val="multilevel"/>
    <w:tmpl w:val="55F87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7663887"/>
    <w:multiLevelType w:val="multilevel"/>
    <w:tmpl w:val="B268B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967DAB"/>
    <w:multiLevelType w:val="hybridMultilevel"/>
    <w:tmpl w:val="D0F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27D99"/>
    <w:multiLevelType w:val="hybridMultilevel"/>
    <w:tmpl w:val="695A185A"/>
    <w:lvl w:ilvl="0" w:tplc="04090001">
      <w:start w:val="1"/>
      <w:numFmt w:val="bullet"/>
      <w:lvlText w:val=""/>
      <w:lvlJc w:val="left"/>
      <w:pPr>
        <w:ind w:left="1044" w:hanging="684"/>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D7379"/>
    <w:multiLevelType w:val="multilevel"/>
    <w:tmpl w:val="7E88A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04504BF"/>
    <w:multiLevelType w:val="multilevel"/>
    <w:tmpl w:val="927C2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0A44A6B"/>
    <w:multiLevelType w:val="multilevel"/>
    <w:tmpl w:val="3BB04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15E179E"/>
    <w:multiLevelType w:val="multilevel"/>
    <w:tmpl w:val="930CB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3B7371E"/>
    <w:multiLevelType w:val="multilevel"/>
    <w:tmpl w:val="5E7C4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F83213"/>
    <w:multiLevelType w:val="multilevel"/>
    <w:tmpl w:val="678E3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B5C6769"/>
    <w:multiLevelType w:val="multilevel"/>
    <w:tmpl w:val="F7A4E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E185AFD"/>
    <w:multiLevelType w:val="multilevel"/>
    <w:tmpl w:val="BA8AF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2D5322D"/>
    <w:multiLevelType w:val="multilevel"/>
    <w:tmpl w:val="275C5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CBF7C62"/>
    <w:multiLevelType w:val="multilevel"/>
    <w:tmpl w:val="058E6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D26783F"/>
    <w:multiLevelType w:val="multilevel"/>
    <w:tmpl w:val="C686B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E4F67AA"/>
    <w:multiLevelType w:val="multilevel"/>
    <w:tmpl w:val="63788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3"/>
  </w:num>
  <w:num w:numId="2">
    <w:abstractNumId w:val="31"/>
  </w:num>
  <w:num w:numId="3">
    <w:abstractNumId w:val="21"/>
  </w:num>
  <w:num w:numId="4">
    <w:abstractNumId w:val="14"/>
  </w:num>
  <w:num w:numId="5">
    <w:abstractNumId w:val="13"/>
  </w:num>
  <w:num w:numId="6">
    <w:abstractNumId w:val="23"/>
  </w:num>
  <w:num w:numId="7">
    <w:abstractNumId w:val="7"/>
  </w:num>
  <w:num w:numId="8">
    <w:abstractNumId w:val="9"/>
  </w:num>
  <w:num w:numId="9">
    <w:abstractNumId w:val="20"/>
  </w:num>
  <w:num w:numId="10">
    <w:abstractNumId w:val="18"/>
  </w:num>
  <w:num w:numId="11">
    <w:abstractNumId w:val="28"/>
  </w:num>
  <w:num w:numId="12">
    <w:abstractNumId w:val="11"/>
  </w:num>
  <w:num w:numId="13">
    <w:abstractNumId w:val="24"/>
  </w:num>
  <w:num w:numId="14">
    <w:abstractNumId w:val="2"/>
  </w:num>
  <w:num w:numId="15">
    <w:abstractNumId w:val="34"/>
  </w:num>
  <w:num w:numId="16">
    <w:abstractNumId w:val="35"/>
  </w:num>
  <w:num w:numId="17">
    <w:abstractNumId w:val="32"/>
  </w:num>
  <w:num w:numId="18">
    <w:abstractNumId w:val="29"/>
  </w:num>
  <w:num w:numId="19">
    <w:abstractNumId w:val="8"/>
  </w:num>
  <w:num w:numId="20">
    <w:abstractNumId w:val="19"/>
  </w:num>
  <w:num w:numId="21">
    <w:abstractNumId w:val="27"/>
  </w:num>
  <w:num w:numId="22">
    <w:abstractNumId w:val="5"/>
  </w:num>
  <w:num w:numId="23">
    <w:abstractNumId w:val="30"/>
  </w:num>
  <w:num w:numId="24">
    <w:abstractNumId w:val="6"/>
  </w:num>
  <w:num w:numId="25">
    <w:abstractNumId w:val="36"/>
  </w:num>
  <w:num w:numId="26">
    <w:abstractNumId w:val="1"/>
  </w:num>
  <w:num w:numId="27">
    <w:abstractNumId w:val="3"/>
  </w:num>
  <w:num w:numId="28">
    <w:abstractNumId w:val="38"/>
  </w:num>
  <w:num w:numId="29">
    <w:abstractNumId w:val="4"/>
  </w:num>
  <w:num w:numId="30">
    <w:abstractNumId w:val="17"/>
  </w:num>
  <w:num w:numId="31">
    <w:abstractNumId w:val="37"/>
  </w:num>
  <w:num w:numId="32">
    <w:abstractNumId w:val="16"/>
  </w:num>
  <w:num w:numId="33">
    <w:abstractNumId w:val="22"/>
  </w:num>
  <w:num w:numId="34">
    <w:abstractNumId w:val="25"/>
  </w:num>
  <w:num w:numId="35">
    <w:abstractNumId w:val="12"/>
  </w:num>
  <w:num w:numId="36">
    <w:abstractNumId w:val="0"/>
  </w:num>
  <w:num w:numId="37">
    <w:abstractNumId w:val="10"/>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61"/>
    <w:rsid w:val="000B0853"/>
    <w:rsid w:val="001160D6"/>
    <w:rsid w:val="00266041"/>
    <w:rsid w:val="00285FB2"/>
    <w:rsid w:val="005E1781"/>
    <w:rsid w:val="006E4B0A"/>
    <w:rsid w:val="00803533"/>
    <w:rsid w:val="008C3E02"/>
    <w:rsid w:val="00B83978"/>
    <w:rsid w:val="00B86A88"/>
    <w:rsid w:val="00BD07F7"/>
    <w:rsid w:val="00C36451"/>
    <w:rsid w:val="00C814A2"/>
    <w:rsid w:val="00CA28A8"/>
    <w:rsid w:val="00CD2675"/>
    <w:rsid w:val="00D346BF"/>
    <w:rsid w:val="00D65F64"/>
    <w:rsid w:val="00F13161"/>
    <w:rsid w:val="00F60368"/>
    <w:rsid w:val="00F6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B0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B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Treece, Amy</dc:creator>
  <cp:lastModifiedBy>Fraker, Jennifer L - Division of Program Standards</cp:lastModifiedBy>
  <cp:revision>2</cp:revision>
  <dcterms:created xsi:type="dcterms:W3CDTF">2015-05-01T18:37:00Z</dcterms:created>
  <dcterms:modified xsi:type="dcterms:W3CDTF">2015-05-01T18:37:00Z</dcterms:modified>
</cp:coreProperties>
</file>